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Procurement Transformation for Pacheco-Casey</w:t>
      </w:r>
    </w:p>
    <w:p>
      <w:r>
        <w:t>Prepared by Matthew Parrish of our Advisory practice for the client executive, covering the reporting period that closes out the analytical work on the Pacheco-Casey procurement transformation, with the spend data assembled by Daniel Leach and the operating-model and savings case drafted by Brenda Rodriguez.</w:t>
      </w:r>
    </w:p>
    <w:p>
      <w:pPr>
        <w:pStyle w:val="Heading2"/>
      </w:pPr>
      <w:r>
        <w:t>Where the Engagement Now Stands</w:t>
      </w:r>
    </w:p>
    <w:p>
      <w:r>
        <w:t>The conclusion I would put at the head of this report is that the procurement transformation is substantially finished: the analysis your team engaged us to run is complete, the recommendations that came out of it have been drafted and reviewed, and the work still in front of us is the ordered set of closing tasks that turns a finished analysis into a package your procurement organization can act on without us on the line. I have kept the account below to what the evidence will carry, marked the two or three figures that are still settling as still settling, and laid the report out in the order these things matter: what we finished in this period, how the work stands against the fee, what remains to close the engagement, and the items I am still watching.</w:t>
      </w:r>
    </w:p>
    <w:p>
      <w:pPr>
        <w:pStyle w:val="Heading2"/>
      </w:pPr>
      <w:r>
        <w:t>Completed in This Reporting Period</w:t>
      </w:r>
    </w:p>
    <w:p>
      <w:r>
        <w:t>Three pieces of work closed in this period, and I set them down in the order they were finished so that your team can see where the ground is now firm.</w:t>
      </w:r>
    </w:p>
    <w:p>
      <w:pPr>
        <w:pStyle w:val="ListBullet"/>
      </w:pPr>
      <w:r>
        <w:t>1. The spend baseline that Daniel Leach built line by line from the purchasing and accounts-payable records your team sent across was reconciled a final time against the general ledger, so that every category figure the recommendations rest on can be traced back to a transaction rather than to our reconstruction of one, and the small set of coding discrepancies we flagged last period were resolved directly with your finance group rather than carried forward under a note.</w:t>
      </w:r>
    </w:p>
    <w:p>
      <w:pPr>
        <w:pStyle w:val="ListBullet"/>
      </w:pPr>
      <w:r>
        <w:t>2. The supplier and category benchmarking that I have run across the engagement was closed against its full set of comparators, and in the two places where a benchmark read cleaner than its inputs deserved I held the figure back until I could see how the comparator number had been built, since a benchmark nobody can explain is of no use to the people who will later have to defend the savings it implies.</w:t>
      </w:r>
    </w:p>
    <w:p>
      <w:pPr>
        <w:pStyle w:val="ListBullet"/>
      </w:pPr>
      <w:r>
        <w:t>3. Brenda Rodriguez completed the target procurement operating model and the savings case that sits on top of it, drawing a line between the savings that follow structurally from consolidating spend and renegotiating terms and those that depend on commercial decisions your organization has not yet taken, and drafting each so a reader can tell which of the two he is looking at.</w:t>
      </w:r>
    </w:p>
    <w:p>
      <w:pPr>
        <w:pStyle w:val="Heading2"/>
      </w:pPr>
      <w:r>
        <w:t>The Fee Against Work Delivered</w:t>
      </w:r>
    </w:p>
    <w:p>
      <w:r>
        <w:t>The engagement has been carried against a fixed fee of $110,500, and as of this report very nearly the whole of that fee has been earned, which squares with the share of the work now behind us; the closing tasks set out below fall inside the fee as it stands, and I do not expect to come back to you for more, since nothing now open widens the scope in a way the plan did not already account for.</w:t>
      </w:r>
    </w:p>
    <w:p>
      <w:pPr>
        <w:pStyle w:val="Heading2"/>
      </w:pPr>
      <w:r>
        <w:t>Remaining Work to Close the Engagement</w:t>
      </w:r>
    </w:p>
    <w:p>
      <w:r>
        <w:t>What is left is a short, ordered list of closing tasks rather than any open analytical question, set out in the sequence we will work them.</w:t>
      </w:r>
    </w:p>
    <w:p>
      <w:pPr>
        <w:pStyle w:val="ListBullet"/>
      </w:pPr>
      <w:r>
        <w:t>1. Brenda Rodriguez will finalize the recommendation and the savings case, folding in the last comments your category leads have returned, and will carry the two figures that are still firming up as ranges rather than points until their inputs are settled, so that nothing in the document reads as more certain than the data under it.</w:t>
      </w:r>
    </w:p>
    <w:p>
      <w:pPr>
        <w:pStyle w:val="ListBullet"/>
      </w:pPr>
      <w:r>
        <w:t>2. Daniel Leach will assemble the supporting workpapers into a single handover file, documented to the standard he keeps, so that your procurement team can retrace any figure back to its source without one of us to walk them through it after we have gone.</w:t>
      </w:r>
    </w:p>
    <w:p>
      <w:pPr>
        <w:pStyle w:val="ListBullet"/>
      </w:pPr>
      <w:r>
        <w:t>3. I will run the final read of the benchmarking appendix against the recommendation itself, confirming that no savings figure quoted in the body outruns the comparator evidence set out behind it, before the package goes to your executive for the closing review.</w:t>
      </w:r>
    </w:p>
    <w:p>
      <w:pPr>
        <w:pStyle w:val="Heading2"/>
      </w:pPr>
      <w:r>
        <w:t>Items I Am Still Watching</w:t>
      </w:r>
    </w:p>
    <w:p>
      <w:r>
        <w:t>The engagement is where it should be at this stage, and none of what follows changes that read; I name these three items because they are the ones most likely to move a number before the closing review, and each is flagged here while there is still room to settle it.</w:t>
      </w:r>
    </w:p>
    <w:p>
      <w:pPr>
        <w:pStyle w:val="ListBullet"/>
      </w:pPr>
      <w:r>
        <w:t>1. Two of the savings figures in the case still rest on supplier inputs that have not been fully confirmed, and while I expect both to hold within the range Brenda Rodriguez has quoted, I have asked that they travel to the closing review as ranges and not as single numbers until the confirmations are in hand.</w:t>
      </w:r>
    </w:p>
    <w:p>
      <w:pPr>
        <w:pStyle w:val="ListBullet"/>
      </w:pPr>
      <w:r>
        <w:t>2. A portion of the most recent quarter's purchasing data reached us later than the rest and has not yet been reconciled to the same standard as the baseline; Daniel Leach is squaring it now, and I do not expect it to move the category totals, but I will not sign off on the appendix until it has been reconciled against the ledger exactly as the earlier data was.</w:t>
      </w:r>
    </w:p>
    <w:p>
      <w:pPr>
        <w:pStyle w:val="ListBullet"/>
      </w:pPr>
      <w:r>
        <w:t>3. The savings the case attributes to renegotiated payment and volume terms turn on commercial decisions that are yours to make and not ours to assume, and we have written them into the document as available rather than booked, so that the number your executive carries forward is one the organization can stand behind.</w:t>
      </w:r>
    </w:p>
    <w:p>
      <w:r>
        <w:t>We will bring the finished recommendation, the savings case, and the handover file to the closing review, with the open figures marked plainly as open, and I am glad to take any of your team through the benchmarking behind a given number ahead of that session. The one thing I will ask of your side this period is that your category leads return the last of their comments on the draft recommendation, since Brenda Rodriguez cannot close the document until they are in, and once they are the transformation can be brought to its close on the schedule we set with your team.</w:t>
      </w:r>
    </w:p>
    <w:p>
      <w:r>
        <w:t>Prepared and submitted by Matthew Parrish, Research Associate, Calderwood Partners.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Procurement Transformation for Pacheco-Casey</dc:title>
  <dc:subject/>
  <dc:creator>Matthew Parrish</dc:creator>
  <cp:keywords/>
  <dc:description>generated by python-docx</dc:description>
  <cp:lastModifiedBy>Matthew Parrish</cp:lastModifiedBy>
  <cp:revision>1</cp:revision>
  <dcterms:created xsi:type="dcterms:W3CDTF">2014-10-31T09:00:00Z</dcterms:created>
  <dcterms:modified xsi:type="dcterms:W3CDTF">2014-10-31T09:00:00Z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