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Procurement Transformation for Pacheco-Casey</w:t>
      </w:r>
    </w:p>
    <w:p>
      <w:r>
        <w:t>The session settled one thing that sets up the next month of work: we will take the three largest spend categories first and leave the long tail for a later pass, because that is where the baseline shows the money and the supplier overlap sit. The rest of the discussion, and the actions below, follow from that choice.</w:t>
      </w:r>
    </w:p>
    <w:p>
      <w:pPr>
        <w:pStyle w:val="Heading2"/>
      </w:pPr>
      <w:r>
        <w:t>Present</w:t>
      </w:r>
    </w:p>
    <w:p>
      <w:pPr>
        <w:pStyle w:val="ListBullet"/>
      </w:pPr>
      <w:r>
        <w:t>Brenda Rodriguez, Senior Consultant</w:t>
      </w:r>
    </w:p>
    <w:p>
      <w:pPr>
        <w:pStyle w:val="ListBullet"/>
      </w:pPr>
      <w:r>
        <w:t>Matthew Parrish, Research Associate</w:t>
      </w:r>
    </w:p>
    <w:p>
      <w:pPr>
        <w:pStyle w:val="ListBullet"/>
      </w:pPr>
      <w:r>
        <w:t>Daniel Leach, Research Associate</w:t>
      </w:r>
    </w:p>
    <w:p>
      <w:pPr>
        <w:pStyle w:val="ListBullet"/>
      </w:pPr>
      <w:r>
        <w:t>David Carter, Director of Operations, Pacheco-Casey</w:t>
      </w:r>
    </w:p>
    <w:p>
      <w:pPr>
        <w:pStyle w:val="Heading2"/>
      </w:pPr>
      <w:r>
        <w:t>Where the baseline landed</w:t>
      </w:r>
    </w:p>
    <w:p>
      <w:r>
        <w:t>Daniel Leach walked through the finished spend baseline. The purchasing data now reconciles to the ledger, and spend is broken out by category and by supplier for the last two years. Two categories that the client had treated as one turned out to run through separate suppliers on separate terms, which matters because we had been about to benchmark them together. Matthew Parrish flagged that the tail of small suppliers is longer than the client expected, and that a share of it is spend that never touched a purchase order at all, so a piece of the picture still rests on invoice records rather than clean transaction data.</w:t>
      </w:r>
    </w:p>
    <w:p>
      <w:pPr>
        <w:pStyle w:val="Heading2"/>
      </w:pPr>
      <w:r>
        <w:t>What the numbers point to</w:t>
      </w:r>
    </w:p>
    <w:p>
      <w:r>
        <w:t>On the three lead categories, the early read is that the company buys from more suppliers than the volume warrants and renews on terms it has not tested against the market in some years. David Carter confirmed that supplier selection has been left largely to the individual buyers, with little central view of who is being paid what for the same goods. We agreed that consolidation and a tested set of terms are the obvious places to look for value, and that we would size the opportunity on the three lead categories before widening the net to the rest of the spend.</w:t>
      </w:r>
    </w:p>
    <w:p>
      <w:pPr>
        <w:pStyle w:val="Heading2"/>
      </w:pPr>
      <w:r>
        <w:t>What is still open</w:t>
      </w:r>
    </w:p>
    <w:p>
      <w:r>
        <w:t>Two gaps remain before we can size anything with confidence. A slice of last year's spend still sits outside any purchase order, so Daniel Leach is working with the client's finance team to pull it in from the invoice records. And we have benchmarks on only the first of the three lead categories so far; Matthew Parrish has the other two in progress. Neither gap changes the direction, but both bear on how tight a number we can put on the opportunity, and both are called out here so the sizing is read as a range and not a promise.</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Daniel Leach</w:t>
            </w:r>
          </w:p>
        </w:tc>
        <w:tc>
          <w:tcPr>
            <w:tcW w:type="dxa" w:w="2880"/>
          </w:tcPr>
          <w:p>
            <w:r>
              <w:t>Split the two categories that share a supplier code and re-cut spend by the corrected categories</w:t>
            </w:r>
          </w:p>
        </w:tc>
        <w:tc>
          <w:tcPr>
            <w:tcW w:type="dxa" w:w="2880"/>
          </w:tcPr>
          <w:p>
            <w:r>
              <w:t>One week</w:t>
            </w:r>
          </w:p>
        </w:tc>
      </w:tr>
      <w:tr>
        <w:tc>
          <w:tcPr>
            <w:tcW w:type="dxa" w:w="2880"/>
          </w:tcPr>
          <w:p>
            <w:r>
              <w:t>Matthew Parrish</w:t>
            </w:r>
          </w:p>
        </w:tc>
        <w:tc>
          <w:tcPr>
            <w:tcW w:type="dxa" w:w="2880"/>
          </w:tcPr>
          <w:p>
            <w:r>
              <w:t>Benchmark terms and supplier structure for the remaining two lead categories against outside reference points</w:t>
            </w:r>
          </w:p>
        </w:tc>
        <w:tc>
          <w:tcPr>
            <w:tcW w:type="dxa" w:w="2880"/>
          </w:tcPr>
          <w:p>
            <w:r>
              <w:t>Two weeks</w:t>
            </w:r>
          </w:p>
        </w:tc>
      </w:tr>
      <w:tr>
        <w:tc>
          <w:tcPr>
            <w:tcW w:type="dxa" w:w="2880"/>
          </w:tcPr>
          <w:p>
            <w:r>
              <w:t>David Carter</w:t>
            </w:r>
          </w:p>
        </w:tc>
        <w:tc>
          <w:tcPr>
            <w:tcW w:type="dxa" w:w="2880"/>
          </w:tcPr>
          <w:p>
            <w:r>
              <w:t>Confirm which buyers own each lead category and make the introductions</w:t>
            </w:r>
          </w:p>
        </w:tc>
        <w:tc>
          <w:tcPr>
            <w:tcW w:type="dxa" w:w="2880"/>
          </w:tcPr>
          <w:p>
            <w:r>
              <w:t>One week</w:t>
            </w:r>
          </w:p>
        </w:tc>
      </w:tr>
      <w:tr>
        <w:tc>
          <w:tcPr>
            <w:tcW w:type="dxa" w:w="2880"/>
          </w:tcPr>
          <w:p>
            <w:r>
              <w:t>Brenda Rodriguez</w:t>
            </w:r>
          </w:p>
        </w:tc>
        <w:tc>
          <w:tcPr>
            <w:tcW w:type="dxa" w:w="2880"/>
          </w:tcPr>
          <w:p>
            <w:r>
              <w:t>Size the consolidation opportunity on the lead categories once the re-cut and benchmarks are in</w:t>
            </w:r>
          </w:p>
        </w:tc>
        <w:tc>
          <w:tcPr>
            <w:tcW w:type="dxa" w:w="2880"/>
          </w:tcPr>
          <w:p>
            <w:r>
              <w:t>Three weeks</w:t>
            </w:r>
          </w:p>
        </w:tc>
      </w:tr>
    </w:tbl>
    <w:p>
      <w:r>
        <w:t>The next step is the re-cut from Daniel Leach; the benchmarking and the sizing both wait on it, so that is the thing to clear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Procurement Transformation for Pacheco-Casey</dc:title>
  <dc:subject/>
  <dc:creator>Brenda Rodriguez</dc:creator>
  <cp:keywords/>
  <dc:description>generated by python-docx</dc:description>
  <cp:lastModifiedBy>Brenda Rodriguez</cp:lastModifiedBy>
  <cp:revision>1</cp:revision>
  <dcterms:created xsi:type="dcterms:W3CDTF">2014-06-09T09:00:00Z</dcterms:created>
  <dcterms:modified xsi:type="dcterms:W3CDTF">2014-06-09T09:00:00Z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