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 Pacheco-Casey Procurement Transformation</w:t>
      </w:r>
    </w:p>
    <w:p>
      <w:r>
        <w:t>We agreed at this session to take two of the three lead categories to a final sourcing recommendation now and to hold the third for one more round, because the supplier responses on the first two are firm enough to act on while the third still hangs on a price point we have not confirmed. The discussion below and the actions at the end all turn on that split.</w:t>
      </w:r>
    </w:p>
    <w:p>
      <w:pPr>
        <w:pStyle w:val="Heading2"/>
      </w:pPr>
      <w:r>
        <w:t>In attendance</w:t>
      </w:r>
    </w:p>
    <w:p>
      <w:pPr>
        <w:pStyle w:val="ListBullet"/>
      </w:pPr>
      <w:r>
        <w:t>Brenda Rodriguez, Senior Consultant</w:t>
      </w:r>
    </w:p>
    <w:p>
      <w:pPr>
        <w:pStyle w:val="ListBullet"/>
      </w:pPr>
      <w:r>
        <w:t>Matthew Parrish, Research Associate</w:t>
      </w:r>
    </w:p>
    <w:p>
      <w:pPr>
        <w:pStyle w:val="ListBullet"/>
      </w:pPr>
      <w:r>
        <w:t>Daniel Leach, Research Associate</w:t>
      </w:r>
    </w:p>
    <w:p>
      <w:pPr>
        <w:pStyle w:val="ListBullet"/>
      </w:pPr>
      <w:r>
        <w:t>David Carter, Director of Operations, Pacheco-Casey</w:t>
      </w:r>
    </w:p>
    <w:p>
      <w:pPr>
        <w:pStyle w:val="Heading2"/>
      </w:pPr>
      <w:r>
        <w:t>Where the sourcing work stands</w:t>
      </w:r>
    </w:p>
    <w:p>
      <w:r>
        <w:t>Matthew Parrish took us through the supplier responses on the two lead categories that are ready. The consolidated supplier lists hold up, the benchmarked terms are within reach of what suppliers have come back with, and the sizing we showed last month has held once the real quotes replaced the reference points. Daniel Leach has the savings tracked category by category against the baseline, so the recommendation rests on the difference between current terms and quoted terms rather than on a modeled assumption.</w:t>
      </w:r>
    </w:p>
    <w:p>
      <w:pPr>
        <w:pStyle w:val="Heading2"/>
      </w:pPr>
      <w:r>
        <w:t>The third category and the transition</w:t>
      </w:r>
    </w:p>
    <w:p>
      <w:r>
        <w:t>The third lead category is not ready. One incumbent supplier came back well outside the benchmarked range, and we are not yet sure whether that reflects a genuine cost difference or a position taken for the negotiation, so we will hold it rather than recommend on a number we cannot defend. David Carter raised the practical side of moving volume between suppliers, and was clear that the buyers cannot absorb a wholesale switch across every category at once. We agreed the transition should be staged, taking the two ready categories first and sequencing the rest, so the change lands at a pace the company's own people can carry.</w:t>
      </w:r>
    </w:p>
    <w:p>
      <w:pPr>
        <w:pStyle w:val="Heading2"/>
      </w:pPr>
      <w:r>
        <w:t>Timing to the recommendation</w:t>
      </w:r>
    </w:p>
    <w:p>
      <w:r>
        <w:t>On pace, we are where we should be. The two ready categories can go to a final recommendation at the next session, the third will follow a round later, and the staged transition means the client is not asked to move on everything at once. David Carter asked whether holding the third category puts the overall finish at risk; the read is that it does not, since the two ready categories carry the larger share of the savings and the third can close alongside the transition planning.</w:t>
      </w:r>
    </w:p>
    <w:p>
      <w:pPr>
        <w:pStyle w:val="Heading2"/>
      </w:pPr>
      <w:r>
        <w:t>Action items</w:t>
      </w:r>
    </w:p>
    <w:p>
      <w:pPr>
        <w:pStyle w:val="ListBullet"/>
      </w:pPr>
      <w:r>
        <w:t>1. Brenda Rodriguez: draft the final sourcing recommendation for the two ready categories, with the staged transition built in, by the next session.</w:t>
      </w:r>
    </w:p>
    <w:p>
      <w:pPr>
        <w:pStyle w:val="ListBullet"/>
      </w:pPr>
      <w:r>
        <w:t>2. Matthew Parrish: go back to the third-category incumbent for the basis of its number and re-test it against the outside references, within two weeks.</w:t>
      </w:r>
    </w:p>
    <w:p>
      <w:pPr>
        <w:pStyle w:val="ListBullet"/>
      </w:pPr>
      <w:r>
        <w:t>3. Daniel Leach: finish the category-by-category savings tracker so the recommendation shows current against quoted terms, within one week.</w:t>
      </w:r>
    </w:p>
    <w:p>
      <w:pPr>
        <w:pStyle w:val="ListBullet"/>
      </w:pPr>
      <w:r>
        <w:t>4. David Carter: confirm which buyers will own the two ready categories through the transition, before the next session.</w:t>
      </w:r>
    </w:p>
    <w:p>
      <w:r>
        <w:t>The next step is the savings tracker from Daniel Leach; the recommendation cannot be finalized until the numbers are locked against real quotes, so that comes first.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Procurement Transformation for Pacheco-Casey</dc:title>
  <dc:subject/>
  <dc:creator>Brenda Rodriguez</dc:creator>
  <cp:keywords/>
  <dc:description>generated by python-docx</dc:description>
  <cp:lastModifiedBy>Brenda Rodriguez</cp:lastModifiedBy>
  <cp:revision>1</cp:revision>
  <dcterms:created xsi:type="dcterms:W3CDTF">2014-09-05T09:00:00Z</dcterms:created>
  <dcterms:modified xsi:type="dcterms:W3CDTF">2014-09-05T09:00:00Z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