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Daniel Leach; Michael Walker</w:t>
        <w:br/>
        <w:t>From: Deborah Gordon, Associate</w:t>
        <w:br/>
        <w:t>Re: Supply Chain Review for Poole, Mcknight and Rush -- kickoff and workplan</w:t>
      </w:r>
    </w:p>
    <w:p>
      <w:r>
        <w:t>This engagement asks us to give Poole, Mcknight and Rush a clear and defensible read on the supply chain it runs on today, so that its leadership can see plainly where the present arrangement earns its keep and where it has quietly begun to cost more than it returns. Our sponsor on the client side is Sandra Flores, their chief operating officer, and she has been clear that what she wants from us is a picture she can act on, not a survey of everything that might in principle be improved. I want us holding to that standard from the first week, because it should govern what we look at first and how hard we push each finding.</w:t>
      </w:r>
    </w:p>
    <w:p>
      <w:pPr>
        <w:pStyle w:val="Heading2"/>
      </w:pPr>
      <w:r>
        <w:t>How we have divided the work</w:t>
      </w:r>
    </w:p>
    <w:p>
      <w:pPr>
        <w:pStyle w:val="ListBullet"/>
      </w:pPr>
      <w:r>
        <w:t>Baseline the supply chain as it runs today. We trace the flow from supplier through to the point of use, and set down the cost, the service levels, and the inventory the present arrangement carries, so that anything we later propose is weighed against a measured starting point and not an impression of one.</w:t>
      </w:r>
    </w:p>
    <w:p>
      <w:pPr>
        <w:pStyle w:val="ListBullet"/>
      </w:pPr>
      <w:r>
        <w:t>Benchmark what we find. I will own the comparison against how a well-run operation of comparable size performs, so that a gap we report is one we can defend rather than one that merely looks large on its own.</w:t>
      </w:r>
    </w:p>
    <w:p>
      <w:pPr>
        <w:pStyle w:val="ListBullet"/>
      </w:pPr>
      <w:r>
        <w:t>Assemble and verify the underlying data. Daniel Leach will run the first pulls and keep the trail by which each figure can be traced back to its source, flagging plainly wherever a number rests on an assumption a reader deserves to see named.</w:t>
      </w:r>
    </w:p>
    <w:p>
      <w:pPr>
        <w:pStyle w:val="ListBullet"/>
      </w:pPr>
      <w:r>
        <w:t>Frame the opportunities that follow. Once the baseline holds, we shape the handful of moves where the greatest improvement sits, each with what it would ask of the organization and what it could reasonably be expected to return.</w:t>
      </w:r>
    </w:p>
    <w:p>
      <w:r>
        <w:t>These are not four separate projects run side by side. The baseline feeds the benchmark, the benchmark disciplines the opportunities, and none of the later work holds if the starting picture is soft, so we will keep the order even where it is tempting to reach for findings early. Michael Walker will hold the cadence with the client and keep our data requests moving, so that we are never waiting on a long list before we can begin.</w:t>
      </w:r>
    </w:p>
    <w:p>
      <w:r>
        <w:t>One thing more I want us agreed on before we start. Sandra Flores should hear from us on a steady rhythm rather than only when a deliverable lands, because a client who learns of a problem early can still do something about it, and this firm treats an inconvenient fact delivered on time as part of what the client is paying for. Michael Walker will own that cadence, and I would rather we set it deliberately now than let it settle by accident over the first month.</w:t>
      </w:r>
    </w:p>
    <w:p>
      <w:pPr>
        <w:pStyle w:val="Heading2"/>
      </w:pPr>
      <w:r>
        <w:t>What I would like settled in the opening days</w:t>
      </w:r>
    </w:p>
    <w:p>
      <w:r>
        <w:t>Work begins on May 18, 2010, and I would like a short list of the first data requests ready to reach Sandra Flores's team by the end of that first week, kept deliberately narrow so that we open the relationship with a small and answerable ask rather than a daunting one. Before then, I would like the three of us in a room to agree the approach, so that we walk into the client kickoff with one account of the work and not three. It is easier to reconcile our reading of the scope between ourselves now than to discover a difference in front of the client later.</w:t>
      </w:r>
    </w:p>
    <w:p>
      <w:r>
        <w:t>The immediate step is ours: let us take thirty minutes this week to settle that first data request together, and Daniel Leach can have it drafted for Sandra Flores's team the same afternoon.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Supply Chain Review for Poole, Mcknight and Rush</dc:title>
  <dc:subject/>
  <dc:creator>Deborah Gordon</dc:creator>
  <cp:keywords/>
  <dc:description>generated by python-docx</dc:description>
  <cp:lastModifiedBy>Deborah Gordon</cp:lastModifiedBy>
  <cp:revision>1</cp:revision>
  <dcterms:created xsi:type="dcterms:W3CDTF">2010-05-21T09:00:00Z</dcterms:created>
  <dcterms:modified xsi:type="dcterms:W3CDTF">2010-05-21T09:00:00Z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