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Engagement Team</w:t>
      </w:r>
    </w:p>
    <w:p>
      <w:r>
        <w:t>From: Brenda Clayton, Consultant</w:t>
      </w:r>
    </w:p>
    <w:p>
      <w:r>
        <w:t>Re: Kickoff, Capital Allocation Review for Poole, Mcknight and Rush</w:t>
      </w:r>
    </w:p>
    <w:p>
      <w:r>
        <w:t>We start on February 22, 2019. This memo sets the objective and the shape of the work so we begin from one reading of it. Our charge from Poole, Mcknight and Rush is narrow: help the company decide where its capital should go next, and what moving it would take. Everything we do serves that and nothing else. Where a question is interesting but off that line, we note it and set it aside.</w:t>
      </w:r>
    </w:p>
    <w:p>
      <w:r>
        <w:t>Our contact on the client side is Sandra Flores, their Chief Operating Officer. Requests to their staff go through her office, so no one there is asked for the same file twice. Deborah Jimenez runs the engagement and sets the cadence; I hold the analysis and the exhibits beneath it. If you are unsure who owns a piece, ask early rather than guess.</w:t>
      </w:r>
    </w:p>
    <w:p>
      <w:r>
        <w:t>The work runs about six months. I read it as three stretches: building the current picture and the returns, framing and testing the options, then the recommendation and the handover. We are at the very front of the first. That is where the time goes now, because every option we frame later is only as sound as the deployment and returns work under it.</w:t>
      </w:r>
    </w:p>
    <w:p>
      <w:pPr>
        <w:pStyle w:val="Heading1"/>
      </w:pPr>
      <w:r>
        <w:t>How the work divides</w:t>
      </w:r>
    </w:p>
    <w:p>
      <w:pPr>
        <w:pStyle w:val="ListBullet"/>
      </w:pPr>
      <w:r>
        <w:t>Current deployment. Build the picture of where the company's capital sits today, business by business and, where the records allow, project by project. This is the base everything else stands on, so it goes first and I will not hurry it.</w:t>
      </w:r>
    </w:p>
    <w:p>
      <w:pPr>
        <w:pStyle w:val="ListBullet"/>
      </w:pPr>
      <w:r>
        <w:t>Returns on capital. For each business, tie the capital committed to what it has returned. Source every figure to the client's own ledger; we will be asked to show our working. Where shared overhead has to be split, agree the split before we cut the numbers, not after.</w:t>
      </w:r>
    </w:p>
    <w:p>
      <w:pPr>
        <w:pStyle w:val="ListBullet"/>
      </w:pPr>
      <w:r>
        <w:t>The allocation process. Document how reinvestment gets decided today and the hurdle a new commitment is held to. Note where the practice and the stated policy diverge, because that gap is usually where the recommendation lives.</w:t>
      </w:r>
    </w:p>
    <w:p>
      <w:pPr>
        <w:pStyle w:val="ListBullet"/>
      </w:pPr>
      <w:r>
        <w:t>Options and plan. Once the first three are solid, frame the reallocation options with what each requires and returns, then sequence the ones worth doing. This rests on the three above and must not run ahead of them.</w:t>
      </w:r>
    </w:p>
    <w:p>
      <w:pPr>
        <w:pStyle w:val="Heading1"/>
      </w:pPr>
      <w:r>
        <w:t>How we keep the work</w:t>
      </w:r>
    </w:p>
    <w:p>
      <w:r>
        <w:t>Two habits carry through all four workstreams. Every figure ties to a source in the client's own records, so a number can be traced back long after we have gone. And we label a finding as a finding and a recommendation as a recommendation, and never let the one drift into the other. When a number is soft, we mark it soft rather than round it into something firmer than it is.</w:t>
      </w:r>
    </w:p>
    <w:p>
      <w:pPr>
        <w:pStyle w:val="Heading1"/>
      </w:pPr>
      <w:r>
        <w:t>This week</w:t>
      </w:r>
    </w:p>
    <w:p>
      <w:r>
        <w:t>I will send the consolidated data request to Sandra Flores and get the kickoff session onto calendars. Deborah Jimenez, hold thirty minutes with me before that session so we agree what we are asking for and why; a tight first request saves us three follow-ups later. Keep a running log of every request and what comes back, so the first time a number is questioned we can show where it came from.</w:t>
      </w:r>
    </w:p>
    <w:p>
      <w:r>
        <w:t>One assumption I do not want us carrying unexamined: that the way the company reports capital by business lines up with how the businesses actually run. If it does not, the returns work changes shape and some cuts will not tie. Flag it the moment the segment definitions arrive, while we can still act on it. The first task is mine, and the data request goes out the day we begin.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Capital Allocation Review for Poole, Mcknight and Rush</dc:title>
  <dc:subject/>
  <dc:creator>Brenda Clayton</dc:creator>
  <cp:keywords/>
  <dc:description>generated by python-docx</dc:description>
  <cp:lastModifiedBy>Brenda Clayton</cp:lastModifiedBy>
  <cp:revision>1</cp:revision>
  <dcterms:created xsi:type="dcterms:W3CDTF">2019-02-25T09:00:00Z</dcterms:created>
  <dcterms:modified xsi:type="dcterms:W3CDTF">2019-02-25T09:00:00Z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