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Capital Allocation Review for Poole, Mcknight and Rush</w:t>
      </w:r>
    </w:p>
    <w:p>
      <w:pPr>
        <w:pStyle w:val="ListBullet"/>
      </w:pPr>
      <w:r>
        <w:t>Progress report for the client's executive team</w:t>
      </w:r>
    </w:p>
    <w:p>
      <w:pPr>
        <w:pStyle w:val="ListBullet"/>
      </w:pPr>
      <w:r>
        <w:t>Prepared by Brenda Clayton, Consultant</w:t>
      </w:r>
    </w:p>
    <w:p>
      <w:pPr>
        <w:pStyle w:val="ListBullet"/>
      </w:pPr>
      <w:r>
        <w:t>Engagement Manager, Deborah Jimenez</w:t>
      </w:r>
    </w:p>
    <w:p>
      <w:pPr>
        <w:pStyle w:val="ListBullet"/>
      </w:pPr>
      <w:r>
        <w:t>Status as of the midpoint of the review</w:t>
      </w:r>
    </w:p>
    <w:p>
      <w:pPr>
        <w:pStyle w:val="Heading2"/>
      </w:pPr>
      <w:r>
        <w:t>Where things stand</w:t>
      </w:r>
    </w:p>
    <w:p>
      <w:r>
        <w:t>The review is at its midpoint and on schedule. The current-deployment map and the returns-on-capital work are largely built, and the picture of where the company earns on its capital is now firm enough to reason from. The reallocation options are not yet framed, and none should be read into this report. We remain within the fixed budget of $80,500, with no change to scope and no expenses beyond the ordinary travel to your sites.</w:t>
      </w:r>
    </w:p>
    <w:p>
      <w:r>
        <w:t>What has changed since the last update is that the analysis has moved from gathering to measurement. The registers are reconciled, the returns are cut, and the questions in front of us are now about what the numbers mean rather than whether we have them. That is the point in an engagement of this kind where the useful arguments start.</w:t>
      </w:r>
    </w:p>
    <w:p>
      <w:pPr>
        <w:pStyle w:val="Heading2"/>
      </w:pPr>
      <w:r>
        <w:t>Done this period</w:t>
      </w:r>
    </w:p>
    <w:p>
      <w:r>
        <w:t>We mapped where the company's capital sits today, business by business, and reconciled it to the asset and capital registers so the totals tie to numbers your finance staff already recognize. The reconciliation held for every business but one, where two months came through at the segment total; that gap is now closed. We tied committed capital to returns for every business but the smallest, which rests on too short a base to call firm and needs a longer history before we will present it.</w:t>
      </w:r>
    </w:p>
    <w:p>
      <w:r>
        <w:t>We also documented how reinvestment is decided today and where the stated hurdle rate is applied unevenly across the businesses. Some commitments clear on strategic grounds the hurdle never tests, and we have set the stated policy and the actual practice side by side so the difference is visible. Deborah Jimenez held two working sessions with your team over the period, and the current-state read now matches what your operators recognize as their own.</w:t>
      </w:r>
    </w:p>
    <w:p>
      <w:r>
        <w:t>Two findings are worth setting down plainly, though both remain provisional until the returns close. The committed capital is concentrated: the two largest businesses hold most of it, and the rest is spread thin. And the returns on that capital diverge sharply, with two businesses earning well above the hurdle and one below it. We present these as measurements, not yet as conclusions about what to do, and we will not turn a measurement into a recommendation before the evidence has earned it.</w:t>
      </w:r>
    </w:p>
    <w:p>
      <w:pPr>
        <w:pStyle w:val="Heading2"/>
      </w:pPr>
      <w:r>
        <w:t>Coming up</w:t>
      </w:r>
    </w:p>
    <w:p>
      <w:r>
        <w:t>Next we close the returns work on the smallest business and settle the shared-overhead allocation, which is the last thing holding the business-level returns as provisional. From there we frame the reallocation options, each with what it would require and what it could return, for discussion and not for decision. We expect to bring the closed current-state read and a first option set to the next working session, and to rank the options only after that discussion, not before it.</w:t>
      </w:r>
    </w:p>
    <w:p>
      <w:pPr>
        <w:pStyle w:val="Heading2"/>
      </w:pPr>
      <w:r>
        <w:t>Budget and expenses</w:t>
      </w:r>
    </w:p>
    <w:p>
      <w:r>
        <w:t>The engagement is a fixed-fee arrangement, and nothing in the work to date changes that. We are billing the fixed fee of $80,500 in equal monthly installments, as the engagement letter set out, and at the midpoint we are on that schedule with no overrun. Expenses have been limited to travel to your sites, billed at cost. We do not foresee anything that would carry the work beyond the fixed fee, and were that ever to change, we would tell you as soon as we saw it coming.</w:t>
      </w:r>
    </w:p>
    <w:p>
      <w:pPr>
        <w:pStyle w:val="Heading2"/>
      </w:pPr>
      <w:r>
        <w:t>What could move the schedule</w:t>
      </w:r>
    </w:p>
    <w:p>
      <w:r>
        <w:t>Two risks are worth naming now, while there is time to act on them. First, the overhead allocation is contested inside the company, and until it is settled the returns carry a range rather than a point. Second, the project-level detail for one business is still outstanding; without it, the option work there will rest on business totals and read coarser than the rest. Neither threatens the budget, but either could move the option framing by a week if it slips.</w:t>
      </w:r>
    </w:p>
    <w:p>
      <w:r>
        <w:t>The one thing we need from your side is the outstanding project-level detail. With it in hand, the option framing holds its current date.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Capital Allocation Review for Poole, Mcknight and Rush</dc:title>
  <dc:subject/>
  <dc:creator>Brenda Clayton</dc:creator>
  <cp:keywords/>
  <dc:description>generated by python-docx</dc:description>
  <cp:lastModifiedBy>Brenda Clayton</cp:lastModifiedBy>
  <cp:revision>1</cp:revision>
  <dcterms:created xsi:type="dcterms:W3CDTF">2019-05-30T09:00:00Z</dcterms:created>
  <dcterms:modified xsi:type="dcterms:W3CDTF">2019-05-30T09:00:00Z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