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Supply Chain Review for Poole, Mcknight and Rush</w:t>
      </w:r>
    </w:p>
    <w:p>
      <w:r>
        <w:t>The session settled two things that shape the next stretch of work: the baseline of the current supply chain is close enough to closing that the team can begin the benchmark against it, and the split of transport cost that has held one part of the picture open will be resolved within the week. The process detail, the early observations, and the client's read on pace all sit behind those two decisions. These minutes record who attended, what we covered, and who owns each next step.</w:t>
      </w:r>
    </w:p>
    <w:p>
      <w:pPr>
        <w:pStyle w:val="Heading2"/>
      </w:pPr>
      <w:r>
        <w:t>In attendance</w:t>
      </w:r>
    </w:p>
    <w:p>
      <w:pPr>
        <w:pStyle w:val="ListBullet"/>
      </w:pPr>
      <w:r>
        <w:t>Michael Walker, Engagement Manager</w:t>
      </w:r>
    </w:p>
    <w:p>
      <w:pPr>
        <w:pStyle w:val="ListBullet"/>
      </w:pPr>
      <w:r>
        <w:t>Deborah Gordon, Associate</w:t>
      </w:r>
    </w:p>
    <w:p>
      <w:pPr>
        <w:pStyle w:val="ListBullet"/>
      </w:pPr>
      <w:r>
        <w:t>Daniel Leach, Research Associate</w:t>
      </w:r>
    </w:p>
    <w:p>
      <w:pPr>
        <w:pStyle w:val="ListBullet"/>
      </w:pPr>
      <w:r>
        <w:t>Sandra Flores, Chief Operating Officer, Poole, Mcknight and Rush</w:t>
      </w:r>
    </w:p>
    <w:p>
      <w:pPr>
        <w:pStyle w:val="Heading2"/>
      </w:pPr>
      <w:r>
        <w:t>Where the baseline stands</w:t>
      </w:r>
    </w:p>
    <w:p>
      <w:r>
        <w:t>The baseline is largely built and lines up with what the operators describe. Deborah Gordon walked through the picture: the flow from supplier to point of use is mapped, the inventory the network carries is quantified, and the service levels are set against it, with only the usual small gaps between the documented process and the one actually run. The single open item is on the cost side, and it is transport: the file the client sent groups inbound and internal movement under one line, so we cannot yet separate what each of them costs. Daniel Leach has the request in with the client's finance team to break the two apart.</w:t>
      </w:r>
    </w:p>
    <w:p>
      <w:pPr>
        <w:pStyle w:val="Heading2"/>
      </w:pPr>
      <w:r>
        <w:t>What the analysis is beginning to show</w:t>
      </w:r>
    </w:p>
    <w:p>
      <w:r>
        <w:t>A few observations are firm enough to note, though the team offered them as observations and not yet as findings. Inventory is carried unevenly across the network, and in two locations it buys less protection against a stockout than its cost would suggest. Freight appears to lean more on expedited shipments than a network of this size should need, though that reading waits on the transport split before it can be put with any confidence. Sandra Flores noted that both patterns match what her site managers have raised, which gives the team a useful place to press.</w:t>
      </w:r>
    </w:p>
    <w:p>
      <w:pPr>
        <w:pStyle w:val="Heading2"/>
      </w:pPr>
      <w:r>
        <w:t>Pace and the next stretch</w:t>
      </w:r>
    </w:p>
    <w:p>
      <w:r>
        <w:t>Michael Walker set out the sequence from here: once the transport split lands and the baseline closes, the benchmark follows, and the improvement options are framed against it rather than ahead of it. Sandra Flores asked whether the open cost item puts the timeline at risk. The read is that it does not, provided the split arrives inside the coming week, which is why it sits at the top of the actions below.</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Sandra Flores</w:t>
            </w:r>
          </w:p>
        </w:tc>
        <w:tc>
          <w:tcPr>
            <w:tcW w:type="dxa" w:w="2880"/>
          </w:tcPr>
          <w:p>
            <w:r>
              <w:t>Have the finance team separate inbound and internal transport into distinct cost lines, or point Daniel Leach to the underlying detail</w:t>
            </w:r>
          </w:p>
        </w:tc>
        <w:tc>
          <w:tcPr>
            <w:tcW w:type="dxa" w:w="2880"/>
          </w:tcPr>
          <w:p>
            <w:r>
              <w:t>Within one week</w:t>
            </w:r>
          </w:p>
        </w:tc>
      </w:tr>
      <w:tr>
        <w:tc>
          <w:tcPr>
            <w:tcW w:type="dxa" w:w="2880"/>
          </w:tcPr>
          <w:p>
            <w:r>
              <w:t>Daniel Leach</w:t>
            </w:r>
          </w:p>
        </w:tc>
        <w:tc>
          <w:tcPr>
            <w:tcW w:type="dxa" w:w="2880"/>
          </w:tcPr>
          <w:p>
            <w:r>
              <w:t>Close the transport split and reconcile the freight figures to the process map</w:t>
            </w:r>
          </w:p>
        </w:tc>
        <w:tc>
          <w:tcPr>
            <w:tcW w:type="dxa" w:w="2880"/>
          </w:tcPr>
          <w:p>
            <w:r>
              <w:t>On receipt of the detail</w:t>
            </w:r>
          </w:p>
        </w:tc>
      </w:tr>
      <w:tr>
        <w:tc>
          <w:tcPr>
            <w:tcW w:type="dxa" w:w="2880"/>
          </w:tcPr>
          <w:p>
            <w:r>
              <w:t>Deborah Gordon</w:t>
            </w:r>
          </w:p>
        </w:tc>
        <w:tc>
          <w:tcPr>
            <w:tcW w:type="dxa" w:w="2880"/>
          </w:tcPr>
          <w:p>
            <w:r>
              <w:t>Close the baseline and begin the benchmark against a comparable operation</w:t>
            </w:r>
          </w:p>
        </w:tc>
        <w:tc>
          <w:tcPr>
            <w:tcW w:type="dxa" w:w="2880"/>
          </w:tcPr>
          <w:p>
            <w:r>
              <w:t>Two weeks</w:t>
            </w:r>
          </w:p>
        </w:tc>
      </w:tr>
      <w:tr>
        <w:tc>
          <w:tcPr>
            <w:tcW w:type="dxa" w:w="2880"/>
          </w:tcPr>
          <w:p>
            <w:r>
              <w:t>Michael Walker</w:t>
            </w:r>
          </w:p>
        </w:tc>
        <w:tc>
          <w:tcPr>
            <w:tcW w:type="dxa" w:w="2880"/>
          </w:tcPr>
          <w:p>
            <w:r>
              <w:t>Confirm the benchmark review date with the client once the baseline closes</w:t>
            </w:r>
          </w:p>
        </w:tc>
        <w:tc>
          <w:tcPr>
            <w:tcW w:type="dxa" w:w="2880"/>
          </w:tcPr>
          <w:p>
            <w:r>
              <w:t>On close of baseline</w:t>
            </w:r>
          </w:p>
        </w:tc>
      </w:tr>
    </w:tbl>
    <w:p>
      <w:r>
        <w:t>The next step is the transport split. Once the client's finance team returns it, Deborah Gordon will close the baseline and open the benchmark, and Michael Walker will set the date for the first review of what it shows.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Supply Chain Review for Poole, Mcknight and Rush</dc:title>
  <dc:subject/>
  <dc:creator>Michael Walker</dc:creator>
  <cp:keywords/>
  <dc:description>generated by python-docx</dc:description>
  <cp:lastModifiedBy>Michael Walker</cp:lastModifiedBy>
  <cp:revision>1</cp:revision>
  <dcterms:created xsi:type="dcterms:W3CDTF">2010-06-30T09:00:00Z</dcterms:created>
  <dcterms:modified xsi:type="dcterms:W3CDTF">2010-06-30T09:00:00Z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