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Capital Deployment and Returns to Date</w:t>
      </w:r>
    </w:p>
    <w:p>
      <w:r>
        <w:t>Recorded by Deborah Jimenez. These minutes cover the working session on the capital allocation review for Poole, Mcknight and Rush and follow the order of the discussion. Figures called provisional in the room are marked so here.</w:t>
      </w:r>
    </w:p>
    <w:p>
      <w:pPr>
        <w:pStyle w:val="Heading2"/>
      </w:pPr>
      <w:r>
        <w:t>Attendees</w:t>
      </w:r>
    </w:p>
    <w:p>
      <w:pPr>
        <w:pStyle w:val="ListBullet"/>
      </w:pPr>
      <w:r>
        <w:t>Deborah Jimenez, Engagement Manager</w:t>
      </w:r>
    </w:p>
    <w:p>
      <w:pPr>
        <w:pStyle w:val="ListBullet"/>
      </w:pPr>
      <w:r>
        <w:t>Brenda Clayton, Consultant</w:t>
      </w:r>
    </w:p>
    <w:p>
      <w:pPr>
        <w:pStyle w:val="ListBullet"/>
      </w:pPr>
      <w:r>
        <w:t>Sandra Flores, Chief Operating Officer</w:t>
      </w:r>
    </w:p>
    <w:p>
      <w:pPr>
        <w:pStyle w:val="Heading2"/>
      </w:pPr>
      <w:r>
        <w:t>Current Deployment</w:t>
      </w:r>
    </w:p>
    <w:p>
      <w:r>
        <w:t>Brenda Clayton presented the map of where the company's capital sits today. The two largest businesses hold the majority of committed capital, with the balance spread thin across the rest. She marked this as a reading taken from the capital and asset registers, not a judgment on it. The registers reconcile to the general ledger for all but the third business, where the figures still come through at the segment total for part of the period. She is reconciling that period before she will call the figure firm. Sandra Flores confirmed the concentration in the largest business and named one investment not yet tied to the register, which was recorded for follow-up.</w:t>
      </w:r>
    </w:p>
    <w:p>
      <w:pPr>
        <w:pStyle w:val="Heading2"/>
      </w:pPr>
      <w:r>
        <w:t>Returns on Capital</w:t>
      </w:r>
    </w:p>
    <w:p>
      <w:r>
        <w:t>Brenda Clayton took the returns work as far as it has reached. Returns vary widely across the businesses: two earn well above the company's stated hurdle and one sits below it. Two limits were noted. The allocation of shared overhead is not yet settled, so the business-level returns should be read as provisional. The returns for the smallest business rest on a single year and need a longer base before they will hold. Deborah Jimenez asked that a range, not a single point, carry into the option work until the overhead allocation is fixed, and that was agreed. The team will not present a business-level return as firm while the overhead split is open.</w:t>
      </w:r>
    </w:p>
    <w:p>
      <w:pPr>
        <w:pStyle w:val="Heading2"/>
      </w:pPr>
      <w:r>
        <w:t>The Allocation Process</w:t>
      </w:r>
    </w:p>
    <w:p>
      <w:r>
        <w:t>Discussion turned to how reinvestment is decided today. There is a stated hurdle rate, but recent commitments do not consistently reflect it. Sandra Flores said the hurdle is applied unevenly across the businesses and asked that the review say so plainly. She noted that some commitments clear on strategic grounds that the hurdle never sees. Brenda Clayton will document both the stated policy and the practice, and mark where they part. No options were framed. It was agreed that options would be brought to the next session with their requirements and returns, and ranked only afterward.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Reconcile the open period in the third business and confirm the deployment figures</w:t>
            </w:r>
          </w:p>
        </w:tc>
        <w:tc>
          <w:tcPr>
            <w:tcW w:type="dxa" w:w="2880"/>
          </w:tcPr>
          <w:p>
            <w:r>
              <w:t>Brenda Clayton</w:t>
            </w:r>
          </w:p>
        </w:tc>
        <w:tc>
          <w:tcPr>
            <w:tcW w:type="dxa" w:w="2880"/>
          </w:tcPr>
          <w:p>
            <w:r>
              <w:t>Before the next working session</w:t>
            </w:r>
          </w:p>
        </w:tc>
      </w:tr>
      <w:tr>
        <w:tc>
          <w:tcPr>
            <w:tcW w:type="dxa" w:w="2880"/>
          </w:tcPr>
          <w:p>
            <w:r>
              <w:t>Settle the shared-overhead allocation and carry a range into the returns</w:t>
            </w:r>
          </w:p>
        </w:tc>
        <w:tc>
          <w:tcPr>
            <w:tcW w:type="dxa" w:w="2880"/>
          </w:tcPr>
          <w:p>
            <w:r>
              <w:t>Brenda Clayton</w:t>
            </w:r>
          </w:p>
        </w:tc>
        <w:tc>
          <w:tcPr>
            <w:tcW w:type="dxa" w:w="2880"/>
          </w:tcPr>
          <w:p>
            <w:r>
              <w:t>Before the option framing</w:t>
            </w:r>
          </w:p>
        </w:tc>
      </w:tr>
      <w:tr>
        <w:tc>
          <w:tcPr>
            <w:tcW w:type="dxa" w:w="2880"/>
          </w:tcPr>
          <w:p>
            <w:r>
              <w:t>Provide the additional investment tied to the largest business</w:t>
            </w:r>
          </w:p>
        </w:tc>
        <w:tc>
          <w:tcPr>
            <w:tcW w:type="dxa" w:w="2880"/>
          </w:tcPr>
          <w:p>
            <w:r>
              <w:t>Sandra Flores</w:t>
            </w:r>
          </w:p>
        </w:tc>
        <w:tc>
          <w:tcPr>
            <w:tcW w:type="dxa" w:w="2880"/>
          </w:tcPr>
          <w:p>
            <w:r>
              <w:t>Within the week</w:t>
            </w:r>
          </w:p>
        </w:tc>
      </w:tr>
      <w:tr>
        <w:tc>
          <w:tcPr>
            <w:tcW w:type="dxa" w:w="2880"/>
          </w:tcPr>
          <w:p>
            <w:r>
              <w:t>Confirm interview times with the two business heads not yet met</w:t>
            </w:r>
          </w:p>
        </w:tc>
        <w:tc>
          <w:tcPr>
            <w:tcW w:type="dxa" w:w="2880"/>
          </w:tcPr>
          <w:p>
            <w:r>
              <w:t>Deborah Jimenez</w:t>
            </w:r>
          </w:p>
        </w:tc>
        <w:tc>
          <w:tcPr>
            <w:tcW w:type="dxa" w:w="2880"/>
          </w:tcPr>
          <w:p>
            <w:r>
              <w:t>This week</w:t>
            </w:r>
          </w:p>
        </w:tc>
      </w:tr>
    </w:tbl>
    <w:p>
      <w:r>
        <w:t>The next step is the reconciliation of the open period. Until Brenda Clayton has closed it, the deployment figures stay provisional and the option work waits on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Capital Allocation Review for Poole, Mcknight and Rush</dc:title>
  <dc:subject/>
  <dc:creator>Deborah Jimenez</dc:creator>
  <cp:keywords/>
  <dc:description>generated by python-docx</dc:description>
  <cp:lastModifiedBy>Deborah Jimenez</cp:lastModifiedBy>
  <cp:revision>1</cp:revision>
  <dcterms:created xsi:type="dcterms:W3CDTF">2019-05-10T09:00:00Z</dcterms:created>
  <dcterms:modified xsi:type="dcterms:W3CDTF">2019-05-10T09:00:00Z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