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Session: Reallocation Options and the Draft Recommendation</w:t>
      </w:r>
    </w:p>
    <w:p>
      <w:r>
        <w:t>Recorded by Deborah Jimenez. These minutes cover the working session on the capital allocation review for Poole, Mcknight and Rush. The session reviewed the ranked options and the shape of the recommendation. Points left open are marked as such.</w:t>
      </w:r>
    </w:p>
    <w:p>
      <w:pPr>
        <w:pStyle w:val="Heading2"/>
      </w:pPr>
      <w:r>
        <w:t>Attendees</w:t>
      </w:r>
    </w:p>
    <w:p>
      <w:pPr>
        <w:pStyle w:val="ListBullet"/>
      </w:pPr>
      <w:r>
        <w:t>Deborah Jimenez, Engagement Manager</w:t>
      </w:r>
    </w:p>
    <w:p>
      <w:pPr>
        <w:pStyle w:val="ListBullet"/>
      </w:pPr>
      <w:r>
        <w:t>Brenda Clayton, Consultant</w:t>
      </w:r>
    </w:p>
    <w:p>
      <w:pPr>
        <w:pStyle w:val="ListBullet"/>
      </w:pPr>
      <w:r>
        <w:t>Sandra Flores, Chief Operating Officer</w:t>
      </w:r>
    </w:p>
    <w:p>
      <w:pPr>
        <w:pStyle w:val="Heading2"/>
      </w:pPr>
      <w:r>
        <w:t>The Ranked Options</w:t>
      </w:r>
    </w:p>
    <w:p>
      <w:r>
        <w:t>Brenda Clayton presented the reallocation options, now ranked. Three stand: concentrate capital in the two businesses earning above the hurdle, release capital from the business earning below it, and hold a reserve against the pipeline the operators described. The ranking rests on the returns work, which is now closed. The shared-overhead allocation that had held the returns provisional has been settled, and the business-level returns are firm. Each option carries what it would require and what it could return, so the ranking can be taken apart rather than taken on trust. Sandra Flores agreed with the top of the ranking and questioned the size of the reserve, which was noted for the recommendation.</w:t>
      </w:r>
    </w:p>
    <w:p>
      <w:pPr>
        <w:pStyle w:val="Heading2"/>
      </w:pPr>
      <w:r>
        <w:t>The Business Below the Hurdle</w:t>
      </w:r>
    </w:p>
    <w:p>
      <w:r>
        <w:t>Most of the discussion was on the business earning below the hurdle. Brenda Clayton was careful to separate the finding from the recommendation: the returns are measured and firm, but whether to release the capital or to fix the business is a decision for the company. She walked through what a fix would demand and what it might recover, without recommending it. Sandra Flores said the board would want both paths costed before it chose, and that a single course would not survive the board's questions. It was agreed the recommendation would present the release option alongside a brief fix-or-hold alternative, rather than a single course.</w:t>
      </w:r>
    </w:p>
    <w:p>
      <w:pPr>
        <w:pStyle w:val="Heading2"/>
      </w:pPr>
      <w:r>
        <w:t>Toward the Recommendation and Handover</w:t>
      </w:r>
    </w:p>
    <w:p>
      <w:r>
        <w:t>The remaining work is the recommendation and the materials the company keeps. Brenda Clayton will assemble the final read and the exhibits so the company's own staff can rerun the returns after the engagement closes. The workpapers will be handed over labeled and sourced, not as a black box. Deborah Jimenez will arrange the closing session with the executive team and confirm who from the board should attend. No new analysis is open; what remains is drafting, review, and handover.</w:t>
      </w:r>
    </w:p>
    <w:p>
      <w:pPr>
        <w:pStyle w:val="Heading2"/>
      </w:pPr>
      <w:r>
        <w:t>Action Items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Owner</w:t>
            </w:r>
          </w:p>
        </w:tc>
        <w:tc>
          <w:tcPr>
            <w:tcW w:type="dxa" w:w="2880"/>
          </w:tcPr>
          <w:p>
            <w:r>
              <w:rPr>
                <w:b/>
              </w:rPr>
              <w:t>Due</w:t>
            </w:r>
          </w:p>
        </w:tc>
      </w:tr>
      <w:tr>
        <w:tc>
          <w:tcPr>
            <w:tcW w:type="dxa" w:w="2880"/>
          </w:tcPr>
          <w:p>
            <w:r>
              <w:t>Cost the fix-or-hold alternative for the business below the hurdle</w:t>
            </w:r>
          </w:p>
        </w:tc>
        <w:tc>
          <w:tcPr>
            <w:tcW w:type="dxa" w:w="2880"/>
          </w:tcPr>
          <w:p>
            <w:r>
              <w:t>Brenda Clayton</w:t>
            </w:r>
          </w:p>
        </w:tc>
        <w:tc>
          <w:tcPr>
            <w:tcW w:type="dxa" w:w="2880"/>
          </w:tcPr>
          <w:p>
            <w:r>
              <w:t>Before the closing session</w:t>
            </w:r>
          </w:p>
        </w:tc>
      </w:tr>
      <w:tr>
        <w:tc>
          <w:tcPr>
            <w:tcW w:type="dxa" w:w="2880"/>
          </w:tcPr>
          <w:p>
            <w:r>
              <w:t>Size the reserve option against the operators' pipeline</w:t>
            </w:r>
          </w:p>
        </w:tc>
        <w:tc>
          <w:tcPr>
            <w:tcW w:type="dxa" w:w="2880"/>
          </w:tcPr>
          <w:p>
            <w:r>
              <w:t>Brenda Clayton</w:t>
            </w:r>
          </w:p>
        </w:tc>
        <w:tc>
          <w:tcPr>
            <w:tcW w:type="dxa" w:w="2880"/>
          </w:tcPr>
          <w:p>
            <w:r>
              <w:t>Before the closing session</w:t>
            </w:r>
          </w:p>
        </w:tc>
      </w:tr>
      <w:tr>
        <w:tc>
          <w:tcPr>
            <w:tcW w:type="dxa" w:w="2880"/>
          </w:tcPr>
          <w:p>
            <w:r>
              <w:t>Confirm the board's questions to be answered in the recommendation</w:t>
            </w:r>
          </w:p>
        </w:tc>
        <w:tc>
          <w:tcPr>
            <w:tcW w:type="dxa" w:w="2880"/>
          </w:tcPr>
          <w:p>
            <w:r>
              <w:t>Sandra Flores</w:t>
            </w:r>
          </w:p>
        </w:tc>
        <w:tc>
          <w:tcPr>
            <w:tcW w:type="dxa" w:w="2880"/>
          </w:tcPr>
          <w:p>
            <w:r>
              <w:t>This week</w:t>
            </w:r>
          </w:p>
        </w:tc>
      </w:tr>
      <w:tr>
        <w:tc>
          <w:tcPr>
            <w:tcW w:type="dxa" w:w="2880"/>
          </w:tcPr>
          <w:p>
            <w:r>
              <w:t>Arrange the closing session with the executive team</w:t>
            </w:r>
          </w:p>
        </w:tc>
        <w:tc>
          <w:tcPr>
            <w:tcW w:type="dxa" w:w="2880"/>
          </w:tcPr>
          <w:p>
            <w:r>
              <w:t>Deborah Jimenez</w:t>
            </w:r>
          </w:p>
        </w:tc>
        <w:tc>
          <w:tcPr>
            <w:tcW w:type="dxa" w:w="2880"/>
          </w:tcPr>
          <w:p>
            <w:r>
              <w:t>Next week</w:t>
            </w:r>
          </w:p>
        </w:tc>
      </w:tr>
    </w:tbl>
    <w:p>
      <w:r>
        <w:t>The next step is the fix-or-hold costing. The recommendation cannot be finalized until Brenda Clayton has it and the reserve is sized.</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Capital Allocation Review for Poole, Mcknight and Rush</dc:title>
  <dc:subject/>
  <dc:creator>Deborah Jimenez</dc:creator>
  <cp:keywords/>
  <dc:description>generated by python-docx</dc:description>
  <cp:lastModifiedBy>Deborah Jimenez</cp:lastModifiedBy>
  <cp:revision>1</cp:revision>
  <dcterms:created xsi:type="dcterms:W3CDTF">2019-08-09T09:00:00Z</dcterms:created>
  <dcterms:modified xsi:type="dcterms:W3CDTF">2019-08-09T09:00:00Z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