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Jason Torres</w:t>
        <w:br/>
        <w:t>From: Deborah Allen</w:t>
        <w:br/>
        <w:t>Re: Getting the Scott, Smith and Edwards engagement under way</w:t>
      </w:r>
    </w:p>
    <w:p>
      <w:r>
        <w:t>The engagement for Scott, Smith and Edwards opens on February 16, 2011. This memo sets down how we start, so we begin in step. Our aim in the first weeks is narrow. We build a clean picture of how the business runs today. We form no view yet about how it should change. Nothing in this phase is a recommendation. It is the base the later work stands on, and it has to be solid.</w:t>
      </w:r>
    </w:p>
    <w:p>
      <w:r>
        <w:t>The first stream is the present-state read, and it goes first because the others lean on it. I will document how the work is organised today across the main customer-facing lines. That means the roles, the hand-offs between them, and the processes that carry a customer from first contact through to fulfilment. I will work from the client's own process notes and a short round of interviews. Where the logic is consistent, I will say so. Where it is not, I will flag it and keep the note close to the evidence, rather than smooth it into something tidier than it is.</w:t>
      </w:r>
    </w:p>
    <w:p>
      <w:r>
        <w:t>The second stream is the digital view. I will map where the online channels change what the work actually requires, and where they only add a step without taking one away. The third stream is the economics. I will pull the cost-to-serve for each line, so we can see what the present model costs before we weigh any change to it. Both of these depend on the present-state read, so they follow it by a week or so. Starting them before that read is firm would only mean doing them twice.</w:t>
      </w:r>
    </w:p>
    <w:p>
      <w:r>
        <w:t>Our sponsor on the client side is Melissa Johnson, the General Manager. I will route our requests for data and access through her, so the client hears one voice from us and not three. She has asked that anything we need in the first month reach her as a single consolidated note. That is sensible, and it is easy to honour if we plan the requests once rather than send them as they occur to us. I will hold the master list and keep it current as material arrives.</w:t>
      </w:r>
    </w:p>
    <w:p>
      <w:r>
        <w:t>The mark of a finished first phase is simple. We should be able to set the present-state model on one page, name the two or three places where the current design costs us, and point to the evidence behind each. If we cannot do that cleanly, the phase is not done, whatever the calendar says, and it is worth the extra few days to get it right.</w:t>
      </w:r>
    </w:p>
    <w:p>
      <w:r>
        <w:t>On cadence, you and I should keep a short standing check-in each week. Fifteen minutes, on what is blocked and nothing else. You own the client relationship, so anything that needs Melissa Johnson to decide, I will bring to you before it goes to her. I will keep the shared engagement file current so neither of us is working from a private copy.</w:t>
      </w:r>
    </w:p>
    <w:p>
      <w:r>
        <w:t>One thing to close on. I will have the consolidated data request drafted by Friday, and I will send it to Melissa Johnson once you have added any client contacts you want on it. That gets the data moving in the first week, which is the week we can least afford to lose.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Digital Operating Model for Scott, Smith and Edwards</dc:title>
  <dc:subject/>
  <dc:creator>Deborah Allen</dc:creator>
  <cp:keywords/>
  <dc:description>generated by python-docx</dc:description>
  <cp:lastModifiedBy>Deborah Allen</cp:lastModifiedBy>
  <cp:revision>1</cp:revision>
  <dcterms:created xsi:type="dcterms:W3CDTF">2011-02-19T09:00:00Z</dcterms:created>
  <dcterms:modified xsi:type="dcterms:W3CDTF">2011-02-19T09:00:00Z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