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Digital Operating Model for Scott, Smith and Edwards</w:t>
      </w:r>
    </w:p>
    <w:p>
      <w:r>
        <w:t>This report covers work through 3 April 2011. Deborah Allen prepared it for the executive sponsor at Scott, Smith and Edwards. Jason Torres, Principal, leads the engagement and will carry the open items into the standing review. I have kept the report close to the evidence. Where a figure rests on something I have not confirmed, I say so.</w:t>
      </w:r>
    </w:p>
    <w:p>
      <w:pPr>
        <w:pStyle w:val="Heading2"/>
      </w:pPr>
      <w:r>
        <w:t>Where things stand</w:t>
      </w:r>
    </w:p>
    <w:p>
      <w:r>
        <w:t>We are at the halfway mark, and the engagement is on plan. The work turned this month from describing how the client runs its digital operation today to designing how it should run. The current-state picture is finished, and the client has seen it and accepted it. Nothing now open threatens the timeline. One figure in the cost baseline rests on an assumption I have not been able to confirm, and I have set it out below instead of letting it pass unremarked. That is the only item I would not yet call clean.</w:t>
      </w:r>
    </w:p>
    <w:p>
      <w:pPr>
        <w:pStyle w:val="Heading2"/>
      </w:pPr>
      <w:r>
        <w:t>What we finished this period</w:t>
      </w:r>
    </w:p>
    <w:p>
      <w:r>
        <w:t>The current-state map of the digital operating model is done. It records who decides what, where the work sits, and what the client spends to run it. I built it from the system inventory, the recent spend history, and interviews with the managers who own each piece. Most of the picture held together under the interviews. Two things did not, and both are worth the executive's attention.</w:t>
      </w:r>
    </w:p>
    <w:p>
      <w:r>
        <w:t>The first is ownership of the web channel. Responsibility for it is split across three groups, and no one owns the whole. That split is the plainest reason simple changes take as long as they do, and it is the finding I would fix first. The second is the digital spend itself. A large share of it runs through outside contracts that no single person inside the company manages, so the firm cannot see its own total without assembling it by hand. I have built a first version of that total, and the figures behind both findings are documented and traced to their sources.</w:t>
      </w:r>
    </w:p>
    <w:p>
      <w:r>
        <w:t>Alongside the map, I reconciled the spend baseline against the general ledger and separated the cost of running the operation from the cost of changing it, because the two had been booked together and the distinction matters for the design. The reconciliation ties out within a small margin. The single gap is the contract figure I note under risks.</w:t>
      </w:r>
    </w:p>
    <w:p>
      <w:r>
        <w:t>We held two working sessions with the client's team this period. Both were well attended, and the managers were candid about where the current setup fails them, which is the reason the current-state map is as specific as it is. I minuted both sessions and circulated the notes the same week.</w:t>
      </w:r>
    </w:p>
    <w:p>
      <w:pPr>
        <w:pStyle w:val="Heading2"/>
      </w:pPr>
      <w:r>
        <w:t>The budget</w:t>
      </w:r>
    </w:p>
    <w:p>
      <w:r>
        <w:t>The engagement is billed at a fixed fee of $106,000. About half of that is earned as of this report, which matches the share of the work now done. On the current plan the remainder can be delivered inside the fixed fee, and I do not expect to ask for more. One caveat holds. If confirming the contract spend means reading the underlying agreements one at a time, that is more hours than the plan carries. Should it come to that, we will bring it to you before the work starts, not after.</w:t>
      </w:r>
    </w:p>
    <w:p>
      <w:pPr>
        <w:pStyle w:val="Heading2"/>
      </w:pPr>
      <w:r>
        <w:t>The next several weeks</w:t>
      </w:r>
    </w:p>
    <w:p>
      <w:r>
        <w:t>The design work begins now. I will draft the target operating model for the digital function: a single owner for the web channel, decision rights written down plainly, and a structure that matches where the money and the work actually sit. Against that I will set out what the change costs and what it returns, kept honest about which savings are real in the first year and which depend on existing contracts running their course. Jason Torres and I will bring the first cut to a working session before it hardens, so the client's managers can argue with it while it can still move. The briefing that draws the streams into one view is planned for the back half of the engagement.</w:t>
      </w:r>
    </w:p>
    <w:p>
      <w:pPr>
        <w:pStyle w:val="Heading2"/>
      </w:pPr>
      <w:r>
        <w:t>What I am watching</w:t>
      </w:r>
    </w:p>
    <w:p>
      <w:r>
        <w:t>There is one assumption and one dependency. The assumption is the contract-spend figure. I have estimated the total from the ledger, but part of it sits in agreements I have not seen in full, and if those come in materially different the savings case moves with them. I am flagging it now because the number is not one I can yet stand behind. The dependency is access to the manager who owns the client's core systems. His calendar has been hard to reach, and two of the interviews the design needs are with him. If they slip past next week, the design slips with them.</w:t>
      </w:r>
    </w:p>
    <w:p>
      <w:pPr>
        <w:pStyle w:val="Heading2"/>
      </w:pPr>
      <w:r>
        <w:t>What I need from you</w:t>
      </w:r>
    </w:p>
    <w:p>
      <w:r>
        <w:t>One decision this week keeps the rest on plan. Either confirm the contract-spend figures I already have, or open the underlying agreements so that I can confirm them myself. I will send the exact list of what I need, contract by contract, the day this report reaches you.</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Digital Operating Model for Scott, Smith and Edwards</dc:title>
  <dc:subject/>
  <dc:creator>Deborah Allen</dc:creator>
  <cp:keywords/>
  <dc:description>generated by python-docx</dc:description>
  <cp:lastModifiedBy>Deborah Allen</cp:lastModifiedBy>
  <cp:revision>1</cp:revision>
  <dcterms:created xsi:type="dcterms:W3CDTF">2011-04-03T09:00:00Z</dcterms:created>
  <dcterms:modified xsi:type="dcterms:W3CDTF">2011-04-03T09:00:00Z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