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Service Delivery Redesign for Scott, Smith and Edwards</w:t>
      </w:r>
    </w:p>
    <w:p>
      <w:r>
        <w:t>Prepared by Julie Vasquez for the leadership of Scott, Smith and Edwards, covering progress since the last report.</w:t>
      </w:r>
    </w:p>
    <w:p>
      <w:pPr>
        <w:pStyle w:val="Heading2"/>
      </w:pPr>
      <w:r>
        <w:t>Where things stand</w:t>
      </w:r>
    </w:p>
    <w:p>
      <w:r>
        <w:t>The engagement is on schedule and on budget, and the work has reached the point where the current-state picture is settled and the design of the new service model has begun. The team holds a reconciled baseline of how Scott, Smith and Edwards delivers service today, the leadership has agreed the facts that baseline rests on, and the questions the redesign turns on are now framed clearly enough to work against. Nothing on the horizon threatens the timeline, though two items set out below will need attention to keep it that way.</w:t>
      </w:r>
    </w:p>
    <w:p>
      <w:pPr>
        <w:pStyle w:val="Heading2"/>
      </w:pPr>
      <w:r>
        <w:t>Progress this period</w:t>
      </w:r>
    </w:p>
    <w:p>
      <w:pPr>
        <w:pStyle w:val="ListBullet"/>
      </w:pPr>
      <w:r>
        <w:t>The current-state map is complete and has been reviewed with the client team, and it locates the main delays at the handoffs between functions rather than inside any one of them.</w:t>
      </w:r>
    </w:p>
    <w:p>
      <w:pPr>
        <w:pStyle w:val="ListBullet"/>
      </w:pPr>
      <w:r>
        <w:t>The delivery baseline of volumes, cycle times, and cost is reconciled, with both sides agreed on the figures behind it.</w:t>
      </w:r>
    </w:p>
    <w:p>
      <w:pPr>
        <w:pStyle w:val="ListBullet"/>
      </w:pPr>
      <w:r>
        <w:t>The comparison set is assembled, with each outside reference kept against its source so that it can be checked rather than taken on faith.</w:t>
      </w:r>
    </w:p>
    <w:p>
      <w:pPr>
        <w:pStyle w:val="ListBullet"/>
      </w:pPr>
      <w:r>
        <w:t>The redesign questions have been framed and agreed with the client team as the focus of the next phase.</w:t>
      </w:r>
    </w:p>
    <w:p>
      <w:pPr>
        <w:pStyle w:val="Heading2"/>
      </w:pPr>
      <w:r>
        <w:t>The budget</w:t>
      </w:r>
    </w:p>
    <w:p>
      <w:r>
        <w:t>The engagement is being carried out against a fixed budget of $42,000, and roughly half of that has been consumed to date, which tracks the point the work has reached. The remaining budget is sufficient for the design and validation still ahead, and Jason Torres will flag it at once should the scope shift in a way that would change that judgment; as matters stand, no change to the fee is contemplated, and none is expected.</w:t>
      </w:r>
    </w:p>
    <w:p>
      <w:pPr>
        <w:pStyle w:val="Heading2"/>
      </w:pPr>
      <w:r>
        <w:t>The work ahead</w:t>
      </w:r>
    </w:p>
    <w:p>
      <w:r>
        <w:t>Over the coming weeks the team moves from describing the current model to designing its replacement. In practice that means setting out two or three options for how service could be delivered, testing each against the reconciled baseline and the comparison set, and bringing them to the leadership as choices to weigh rather than as a single answer handed down. Jason Torres will hold the standing check-ins through this phase, and I will keep the shared engagement file current so that any figure behind an option can be traced back to where it came from.</w:t>
      </w:r>
    </w:p>
    <w:p>
      <w:pPr>
        <w:pStyle w:val="Heading2"/>
      </w:pPr>
      <w:r>
        <w:t>Risks and watch items</w:t>
      </w:r>
    </w:p>
    <w:p>
      <w:pPr>
        <w:pStyle w:val="ListBullet"/>
      </w:pPr>
      <w:r>
        <w:t>A small number of customer commitments constrain how quickly parts of the process can change. The design will separate the moves available in the near term from those that depend on those commitments running their course, so the client can begin where it is able.</w:t>
      </w:r>
    </w:p>
    <w:p>
      <w:pPr>
        <w:pStyle w:val="ListBullet"/>
      </w:pPr>
      <w:r>
        <w:t>Two of the delivery managers whose input the design depends on have limited availability over the coming weeks. Scheduling their sessions early is the surest way to keep the design phase from slipping.</w:t>
      </w:r>
    </w:p>
    <w:p>
      <w:r>
        <w:t>The single thing that would most help from the client's side in the next two weeks is confirmed time with those two delivery managers; with that on the calendar, the design phase can proceed on its current timeline.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Service Delivery Redesign for Scott, Smith and Edwards</dc:title>
  <dc:subject/>
  <dc:creator>Julie Vasquez</dc:creator>
  <cp:keywords/>
  <dc:description>generated by python-docx</dc:description>
  <cp:lastModifiedBy>Julie Vasquez</cp:lastModifiedBy>
  <cp:revision>1</cp:revision>
  <dcterms:created xsi:type="dcterms:W3CDTF">2020-07-01T09:00:00Z</dcterms:created>
  <dcterms:modified xsi:type="dcterms:W3CDTF">2020-07-01T09:00:00Z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