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Working Session Minutes</w:t>
      </w:r>
    </w:p>
    <w:p>
      <w:r>
        <w:t>These minutes record the working session held on the operating-model engagement for Scott, Smith and Edwards, at which the engagement team and the client reviewed the present-state read and settled the questions the design work will pursue next. They set out who attended, what the group discussed, and the actions each side agreed to carry before we meet again.</w:t>
      </w:r>
    </w:p>
    <w:p>
      <w:pPr>
        <w:pStyle w:val="Heading2"/>
      </w:pPr>
      <w:r>
        <w:t>Present</w:t>
      </w:r>
    </w:p>
    <w:p>
      <w:pPr>
        <w:pStyle w:val="ListBullet"/>
      </w:pPr>
      <w:r>
        <w:t>Jason Torres, Principal, Calderwood Partners (chair)</w:t>
      </w:r>
    </w:p>
    <w:p>
      <w:pPr>
        <w:pStyle w:val="ListBullet"/>
      </w:pPr>
      <w:r>
        <w:t>Deborah Allen, Consultant, Calderwood Partners</w:t>
      </w:r>
    </w:p>
    <w:p>
      <w:pPr>
        <w:pStyle w:val="ListBullet"/>
      </w:pPr>
      <w:r>
        <w:t>Melissa Johnson, General Manager, Scott, Smith and Edwards</w:t>
      </w:r>
    </w:p>
    <w:p>
      <w:pPr>
        <w:pStyle w:val="Heading2"/>
      </w:pPr>
      <w:r>
        <w:t>Discussion</w:t>
      </w:r>
    </w:p>
    <w:p>
      <w:r>
        <w:t>Deborah Allen presented the present-state read, which is now substantially complete for the two largest customer-facing lines and under way on the remainder. Her account was that the work is organised consistently within the largest line, where a single path carries a customer from first contact through to fulfilment, but that the logic varies across the smaller lines, so that the same task may be handled in two or three different ways depending on which team first receives it. She was careful to present this as an observation drawn from the process notes and the interviews rather than as a criticism, and she flagged two points at which the evidence is still thin and a further interview will be needed before the picture can be treated as settled.</w:t>
      </w:r>
    </w:p>
    <w:p>
      <w:r>
        <w:t>The discussion then turned to the digital view, and in particular to where the online channels genuinely change what the work requires as against where they merely add a step. Melissa Johnson confirmed the pattern from her own vantage and observed that several of the online paths had been built onto an older order system in stages, with the result that some steps now exist to serve the system rather than the customer. The group agreed that the design work should distinguish the processes that can be simplified on their own terms from those that cannot move until the underlying system is addressed, since a recommendation that ignored that constraint would not survive contact with the operation.</w:t>
      </w:r>
    </w:p>
    <w:p>
      <w:r>
        <w:t>One question was left open by agreement. Jason Torres set out the choice in plain terms: the engagement can either redesign a single customer-facing line from end to end as a demonstration, which is the more contained course and the easier one to adjust should the client's people push back, or it can take up the shared processes that cut across every line at once, which is the more ambitious course and the harder one to reverse. No one pressed for a decision in the room. The call belongs to the client's leadership, and it will be brought to them framed as a choice rather than as the firm's conclusion.</w:t>
      </w:r>
    </w:p>
    <w:p>
      <w:pPr>
        <w:pStyle w:val="Heading2"/>
      </w:pPr>
      <w:r>
        <w:t>Actions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No.</w:t>
            </w:r>
          </w:p>
        </w:tc>
        <w:tc>
          <w:tcPr>
            <w:tcW w:type="dxa" w:w="2160"/>
          </w:tcPr>
          <w:p>
            <w:r>
              <w:rPr>
                <w:b/>
              </w:rPr>
              <w:t>Action</w:t>
            </w:r>
          </w:p>
        </w:tc>
        <w:tc>
          <w:tcPr>
            <w:tcW w:type="dxa" w:w="2160"/>
          </w:tcPr>
          <w:p>
            <w:r>
              <w:rPr>
                <w:b/>
              </w:rPr>
              <w:t>Owner</w:t>
            </w:r>
          </w:p>
        </w:tc>
        <w:tc>
          <w:tcPr>
            <w:tcW w:type="dxa" w:w="2160"/>
          </w:tcPr>
          <w:p>
            <w:r>
              <w:rPr>
                <w:b/>
              </w:rPr>
              <w:t>Due</w:t>
            </w:r>
          </w:p>
        </w:tc>
      </w:tr>
      <w:tr>
        <w:tc>
          <w:tcPr>
            <w:tcW w:type="dxa" w:w="2160"/>
          </w:tcPr>
          <w:p>
            <w:r>
              <w:t>1</w:t>
            </w:r>
          </w:p>
        </w:tc>
        <w:tc>
          <w:tcPr>
            <w:tcW w:type="dxa" w:w="2160"/>
          </w:tcPr>
          <w:p>
            <w:r>
              <w:t>Complete the present-state read on the remaining lines and schedule the two outstanding interviews</w:t>
            </w:r>
          </w:p>
        </w:tc>
        <w:tc>
          <w:tcPr>
            <w:tcW w:type="dxa" w:w="2160"/>
          </w:tcPr>
          <w:p>
            <w:r>
              <w:t>Deborah Allen</w:t>
            </w:r>
          </w:p>
        </w:tc>
        <w:tc>
          <w:tcPr>
            <w:tcW w:type="dxa" w:w="2160"/>
          </w:tcPr>
          <w:p>
            <w:r>
              <w:t>Within the week</w:t>
            </w:r>
          </w:p>
        </w:tc>
      </w:tr>
      <w:tr>
        <w:tc>
          <w:tcPr>
            <w:tcW w:type="dxa" w:w="2160"/>
          </w:tcPr>
          <w:p>
            <w:r>
              <w:t>2</w:t>
            </w:r>
          </w:p>
        </w:tc>
        <w:tc>
          <w:tcPr>
            <w:tcW w:type="dxa" w:w="2160"/>
          </w:tcPr>
          <w:p>
            <w:r>
              <w:t>Confirm which online paths depend on the older order system and cannot be changed independently</w:t>
            </w:r>
          </w:p>
        </w:tc>
        <w:tc>
          <w:tcPr>
            <w:tcW w:type="dxa" w:w="2160"/>
          </w:tcPr>
          <w:p>
            <w:r>
              <w:t>Melissa Johnson</w:t>
            </w:r>
          </w:p>
        </w:tc>
        <w:tc>
          <w:tcPr>
            <w:tcW w:type="dxa" w:w="2160"/>
          </w:tcPr>
          <w:p>
            <w:r>
              <w:t>Before next session</w:t>
            </w:r>
          </w:p>
        </w:tc>
      </w:tr>
      <w:tr>
        <w:tc>
          <w:tcPr>
            <w:tcW w:type="dxa" w:w="2160"/>
          </w:tcPr>
          <w:p>
            <w:r>
              <w:t>3</w:t>
            </w:r>
          </w:p>
        </w:tc>
        <w:tc>
          <w:tcPr>
            <w:tcW w:type="dxa" w:w="2160"/>
          </w:tcPr>
          <w:p>
            <w:r>
              <w:t>Frame the end-to-end-versus-shared-process choice as a short decision paper for leadership</w:t>
            </w:r>
          </w:p>
        </w:tc>
        <w:tc>
          <w:tcPr>
            <w:tcW w:type="dxa" w:w="2160"/>
          </w:tcPr>
          <w:p>
            <w:r>
              <w:t>Jason Torres</w:t>
            </w:r>
          </w:p>
        </w:tc>
        <w:tc>
          <w:tcPr>
            <w:tcW w:type="dxa" w:w="2160"/>
          </w:tcPr>
          <w:p>
            <w:r>
              <w:t>Next session</w:t>
            </w:r>
          </w:p>
        </w:tc>
      </w:tr>
    </w:tbl>
    <w:p>
      <w:r>
        <w:t>The item that gates the next session is the second action. Until we know which processes are bound to the older system, we cannot separate what the design can change now from what must wait, and so I have asked Melissa Johnson's team to settle that question first; once it is answered, Deborah Allen will circulate a first outline of the design options ahead of our next meeting.</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Digital Operating Model for Scott, Smith and Edwards</dc:title>
  <dc:subject/>
  <dc:creator>Jason Torres</dc:creator>
  <cp:keywords/>
  <dc:description>generated by python-docx</dc:description>
  <cp:lastModifiedBy>Jason Torres</cp:lastModifiedBy>
  <cp:revision>1</cp:revision>
  <dcterms:created xsi:type="dcterms:W3CDTF">2011-03-25T09:00:00Z</dcterms:created>
  <dcterms:modified xsi:type="dcterms:W3CDTF">2011-03-25T09:00:00Z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