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Working Session: Service Delivery Redesign for Scott, Smith and Edwards</w:t>
      </w:r>
    </w:p>
    <w:p>
      <w:r>
        <w:t>These minutes record the working session held with the client team to review the current-state findings for the service delivery redesign and to agree what the next phase of the work should pursue for Scott, Smith and Edwards.</w:t>
      </w:r>
    </w:p>
    <w:p>
      <w:pPr>
        <w:pStyle w:val="Heading2"/>
      </w:pPr>
      <w:r>
        <w:t>Attendees</w:t>
      </w:r>
    </w:p>
    <w:p>
      <w:pPr>
        <w:pStyle w:val="ListBullet"/>
      </w:pPr>
      <w:r>
        <w:t>1. Jason Torres, Principal, Calderwood Partners (chair)</w:t>
      </w:r>
    </w:p>
    <w:p>
      <w:pPr>
        <w:pStyle w:val="ListBullet"/>
      </w:pPr>
      <w:r>
        <w:t>2. Julie Vasquez, Research Associate, Calderwood Partners</w:t>
      </w:r>
    </w:p>
    <w:p>
      <w:pPr>
        <w:pStyle w:val="ListBullet"/>
      </w:pPr>
      <w:r>
        <w:t>3. Melissa Johnson, General Manager, Scott, Smith and Edwards</w:t>
      </w:r>
    </w:p>
    <w:p>
      <w:pPr>
        <w:pStyle w:val="Heading2"/>
      </w:pPr>
      <w:r>
        <w:t>Matters discussed</w:t>
      </w:r>
    </w:p>
    <w:p>
      <w:r>
        <w:t>The session opened with a review of the current-state work, which is now largely complete. Julie Vasquez took the group through the map of how service moves through the organization today and through the baseline of volumes, cycle times, and delivery cost she has assembled from the client's own records, and she was careful throughout to distinguish the figures the two sides have reconciled from the handful still being checked against source. The group agreed that the map confirms what the early interviews had suggested, namely that the delays cluster at the handoffs between functions rather than within any single one of them, and that this is the pattern the redesign will have to address before any other.</w:t>
      </w:r>
    </w:p>
    <w:p>
      <w:r>
        <w:t>Julie Vasquez also presented the first of the outside reference points she has been assembling, noting where the organization's cycle times sit against them and, more usefully, where the comparison does not hold because the underlying work differs; the group agreed that these references would be used to test the eventual redesign rather than to set a target in the abstract, and asked that each be kept with its source so that a number can be run back to its origin later. There followed a discussion, left deliberately open at the close, of how far the apparent slack in the process could actually be recovered.</w:t>
      </w:r>
    </w:p>
    <w:p>
      <w:r>
        <w:t>Melissa Johnson cautioned that some of that apparent slack reflects commitments to particular customers that cannot be unwound quickly, and the group accepted that the redesign should separate the changes available in the near term from those that depend on such commitments running their course. It was agreed, as a matter of method, that nothing would be presented to the client's leadership as a recommendation until the baseline is fully reconciled and both sides have signed off on the figures on which it rests.</w:t>
      </w:r>
    </w:p>
    <w:p>
      <w:pPr>
        <w:pStyle w:val="Heading2"/>
      </w:pPr>
      <w:r>
        <w:t>Actions agreed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Target</w:t>
            </w:r>
          </w:p>
        </w:tc>
      </w:tr>
      <w:tr>
        <w:tc>
          <w:tcPr>
            <w:tcW w:type="dxa" w:w="2160"/>
          </w:tcPr>
          <w:p>
            <w:r>
              <w:t>1</w:t>
            </w:r>
          </w:p>
        </w:tc>
        <w:tc>
          <w:tcPr>
            <w:tcW w:type="dxa" w:w="2160"/>
          </w:tcPr>
          <w:p>
            <w:r>
              <w:t>Close out the figures still being checked against source and finalize the delivery baseline</w:t>
            </w:r>
          </w:p>
        </w:tc>
        <w:tc>
          <w:tcPr>
            <w:tcW w:type="dxa" w:w="2160"/>
          </w:tcPr>
          <w:p>
            <w:r>
              <w:t>Julie Vasquez</w:t>
            </w:r>
          </w:p>
        </w:tc>
        <w:tc>
          <w:tcPr>
            <w:tcW w:type="dxa" w:w="2160"/>
          </w:tcPr>
          <w:p>
            <w:r>
              <w:t>Next two weeks</w:t>
            </w:r>
          </w:p>
        </w:tc>
      </w:tr>
      <w:tr>
        <w:tc>
          <w:tcPr>
            <w:tcW w:type="dxa" w:w="2160"/>
          </w:tcPr>
          <w:p>
            <w:r>
              <w:t>2</w:t>
            </w:r>
          </w:p>
        </w:tc>
        <w:tc>
          <w:tcPr>
            <w:tcW w:type="dxa" w:w="2160"/>
          </w:tcPr>
          <w:p>
            <w:r>
              <w:t>Frame the redesign questions as choices for the client's leadership, keeping the analysis and the recommendation clearly separate</w:t>
            </w:r>
          </w:p>
        </w:tc>
        <w:tc>
          <w:tcPr>
            <w:tcW w:type="dxa" w:w="2160"/>
          </w:tcPr>
          <w:p>
            <w:r>
              <w:t>Jason Torres</w:t>
            </w:r>
          </w:p>
        </w:tc>
        <w:tc>
          <w:tcPr>
            <w:tcW w:type="dxa" w:w="2160"/>
          </w:tcPr>
          <w:p>
            <w:r>
              <w:t>Next session</w:t>
            </w:r>
          </w:p>
        </w:tc>
      </w:tr>
      <w:tr>
        <w:tc>
          <w:tcPr>
            <w:tcW w:type="dxa" w:w="2160"/>
          </w:tcPr>
          <w:p>
            <w:r>
              <w:t>3</w:t>
            </w:r>
          </w:p>
        </w:tc>
        <w:tc>
          <w:tcPr>
            <w:tcW w:type="dxa" w:w="2160"/>
          </w:tcPr>
          <w:p>
            <w:r>
              <w:t>Confirm which customer commitments constrain the near-term changes and name who on the client side can speak to them</w:t>
            </w:r>
          </w:p>
        </w:tc>
        <w:tc>
          <w:tcPr>
            <w:tcW w:type="dxa" w:w="2160"/>
          </w:tcPr>
          <w:p>
            <w:r>
              <w:t>Melissa Johnson</w:t>
            </w:r>
          </w:p>
        </w:tc>
        <w:tc>
          <w:tcPr>
            <w:tcW w:type="dxa" w:w="2160"/>
          </w:tcPr>
          <w:p>
            <w:r>
              <w:t>This month</w:t>
            </w:r>
          </w:p>
        </w:tc>
      </w:tr>
    </w:tbl>
    <w:p>
      <w:r>
        <w:t>The next working session will be scheduled once the baseline is reconciled. These minutes will stand as the record of what was agreed unless a correction is raised within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Service Delivery Redesign for Scott, Smith and Edwards</dc:title>
  <dc:subject/>
  <dc:creator>Jason Torres</dc:creator>
  <cp:keywords/>
  <dc:description>generated by python-docx</dc:description>
  <cp:lastModifiedBy>Jason Torres</cp:lastModifiedBy>
  <cp:revision>1</cp:revision>
  <dcterms:created xsi:type="dcterms:W3CDTF">2020-06-10T09:00:00Z</dcterms:created>
  <dcterms:modified xsi:type="dcterms:W3CDTF">2020-06-10T09:00:00Z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