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Service Delivery Redesign for Scott, Smith and Edwards</w:t>
      </w:r>
    </w:p>
    <w:p>
      <w:r>
        <w:t>These minutes record the working session held to review the near-final recommendations for the service delivery redesign and to settle what remains before the engagement closes for Scott, Smith and Edwards.</w:t>
      </w:r>
    </w:p>
    <w:p>
      <w:pPr>
        <w:pStyle w:val="Heading2"/>
      </w:pPr>
      <w:r>
        <w:t>Present</w:t>
      </w:r>
    </w:p>
    <w:p>
      <w:pPr>
        <w:pStyle w:val="ListBullet"/>
      </w:pPr>
      <w:r>
        <w:t>1. Jason Torres, Principal, Calderwood Partners (chair)</w:t>
      </w:r>
    </w:p>
    <w:p>
      <w:pPr>
        <w:pStyle w:val="ListBullet"/>
      </w:pPr>
      <w:r>
        <w:t>2. Julie Vasquez, Research Associate, Calderwood Partners</w:t>
      </w:r>
    </w:p>
    <w:p>
      <w:pPr>
        <w:pStyle w:val="ListBullet"/>
      </w:pPr>
      <w:r>
        <w:t>3. Melissa Johnson, General Manager, Scott, Smith and Edwards</w:t>
      </w:r>
    </w:p>
    <w:p>
      <w:pPr>
        <w:pStyle w:val="Heading2"/>
      </w:pPr>
      <w:r>
        <w:t>Summary of discussion</w:t>
      </w:r>
    </w:p>
    <w:p>
      <w:r>
        <w:t>The session opened with a walk-through of the recommended model, which has now taken close to its final form. Julie Vasquez presented the validation of the design against the reconciled baseline, showing where the redesigned handoffs are expected to remove delay and, with the same care she has kept throughout, marking the two estimates that still rest on assumptions the client will want to test in operation rather than on paper. The group agreed that the recommendation is sound enough to put before the client's leadership, provided those two assumptions are stated plainly rather than folded quietly into the headline figures.</w:t>
      </w:r>
    </w:p>
    <w:p>
      <w:r>
        <w:t>Before turning to implementation, the group reviewed the engagement against its timeline and agreed that the work remains on course to close on schedule, with the analytical effort substantially behind it and the remaining work concentrated in drafting and review. Jason Torres observed that this is the point at which a team is most tempted to keep polishing an analysis that is already firm enough to act on, and asked that the effort now go into making the recommendation usable to the client rather than into refining figures that will not change the decision.</w:t>
      </w:r>
    </w:p>
    <w:p>
      <w:r>
        <w:t>Discussion then moved to implementation, on the understanding that a redesign the organization cannot absorb is of little use however well it reads. Melissa Johnson set out which of the changes her teams could take up in the near term and which would have to wait on the customer commitments identified earlier in the work, and the group agreed that the final deliverable should present the redesign in two phases accordingly, so that the client can begin where it is able without waiting on the parts that are constrained. It was further agreed that the engagement would close with a written recommendation and a short implementation plan, the changes themselves remaining the client's to carry into effect.</w:t>
      </w:r>
    </w:p>
    <w:p>
      <w:pPr>
        <w:pStyle w:val="Heading2"/>
      </w:pPr>
      <w:r>
        <w:t>Actions and owners</w:t>
      </w:r>
    </w:p>
    <w:p>
      <w:pPr>
        <w:pStyle w:val="ListBullet"/>
      </w:pPr>
      <w:r>
        <w:t>1. Finalize the recommended model and mark the two open assumptions clearly for the client to test in operation. Owner: Julie Vasquez.</w:t>
      </w:r>
    </w:p>
    <w:p>
      <w:pPr>
        <w:pStyle w:val="ListBullet"/>
      </w:pPr>
      <w:r>
        <w:t>2. Structure the final deliverable in two phases, separating the near-term changes from those constrained by existing customer commitments. Owner: Jason Torres.</w:t>
      </w:r>
    </w:p>
    <w:p>
      <w:pPr>
        <w:pStyle w:val="ListBullet"/>
      </w:pPr>
      <w:r>
        <w:t>3. Confirm on the client side which teams will own each near-term change and identify the commitments that fix the timing of the rest. Owner: Melissa Johnson.</w:t>
      </w:r>
    </w:p>
    <w:p>
      <w:r>
        <w:t>The next and likely final working session will be set once the draft recommendation has been circulated. These minutes will stand as the record of what was agreed unless a correction is raised within the week.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Service Delivery Redesign for Scott, Smith and Edwards</dc:title>
  <dc:subject/>
  <dc:creator>Jason Torres</dc:creator>
  <cp:keywords/>
  <dc:description>generated by python-docx</dc:description>
  <cp:lastModifiedBy>Jason Torres</cp:lastModifiedBy>
  <cp:revision>1</cp:revision>
  <dcterms:created xsi:type="dcterms:W3CDTF">2020-09-08T09:00:00Z</dcterms:created>
  <dcterms:modified xsi:type="dcterms:W3CDTF">2020-09-08T09:00:00Z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