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To: Deborah Gordon</w:t>
        <w:br/>
        <w:t>From: Julie Parks</w:t>
        <w:br/>
        <w:t>Re: Opening the Stark-Wilson organization design engagement</w:t>
      </w:r>
    </w:p>
    <w:p>
      <w:r>
        <w:t>The engagement opens on May 10, 2011. This memo sets down how we start, so we are in step from the first day. The aim of the opening phase is narrow. We build a clean, agreed picture of how Stark-Wilson is organized today. We form no view yet on how it should change. Nothing in this phase is a recommendation. It is the base the design work stands on, and it has to be solid before we build on it. The five workstreams below run in parallel, but the map comes first, because the others read off it.</w:t>
      </w:r>
    </w:p>
    <w:p>
      <w:pPr>
        <w:pStyle w:val="Heading2"/>
      </w:pPr>
      <w:r>
        <w:t>The opening phase</w:t>
      </w:r>
    </w:p>
    <w:p>
      <w:pPr>
        <w:pStyle w:val="ListBullet"/>
      </w:pPr>
      <w:r>
        <w:t>Current-state org map. Document the reporting lines, the spans of control, and the layers between the top of the house and the front line.</w:t>
      </w:r>
    </w:p>
    <w:p>
      <w:pPr>
        <w:pStyle w:val="ListBullet"/>
      </w:pPr>
      <w:r>
        <w:t>Roles and responsibilities. Record what each manager is accountable for, and where two managers believe they own the same thing.</w:t>
      </w:r>
    </w:p>
    <w:p>
      <w:pPr>
        <w:pStyle w:val="ListBullet"/>
      </w:pPr>
      <w:r>
        <w:t>Decision rights. Trace how a handful of everyday decisions actually travel, and mark where authority is unclear or sits away from the work.</w:t>
      </w:r>
    </w:p>
    <w:p>
      <w:pPr>
        <w:pStyle w:val="ListBullet"/>
      </w:pPr>
      <w:r>
        <w:t>Interviews. Sit with the managers who run each function, so the map rests on how the work is done and not only on the chart.</w:t>
      </w:r>
    </w:p>
    <w:p>
      <w:pPr>
        <w:pStyle w:val="ListBullet"/>
      </w:pPr>
      <w:r>
        <w:t>Benchmarks. Set the spans and layers against a sensible reference, so we can see where the structure is heavy and where it is thin.</w:t>
      </w:r>
    </w:p>
    <w:p>
      <w:r>
        <w:t>You own the map and the benchmarks. Work from the client's own charts and job descriptions first, then close the gaps in the interviews. Where the chart and the interviews disagree, keep the note close to the evidence and flag it. We do not tidy a discrepancy away; a discrepancy is often the finding.</w:t>
      </w:r>
    </w:p>
    <w:p>
      <w:r>
        <w:t>Our sponsor on the client side is Julie Gonzalez, the Director of Operations. Route every request for data and access through her, so Stark-Wilson hears one voice from us. She has asked that anything we need in the first month reach her as a single consolidated note. That is sensible. Plan the requests once, rather than send them as they occur to us.</w:t>
      </w:r>
    </w:p>
    <w:p>
      <w:r>
        <w:t>Two dependencies decide the pace. The first is access to the managers. The interviews are where the map earns its keep, and a week of unavailable calendars is a week the phase does not move. The second is the client's own charts. If they are current we start from them; if they are stale we rebuild the reporting lines from the interviews, which is slower. Flag either one to me the moment it slips, not at the review.</w:t>
      </w:r>
    </w:p>
    <w:p>
      <w:r>
        <w:t>On cadence, you and I keep a short standing check-in each week: fifteen minutes, on what is blocked and nothing else. Anything that needs Julie Gonzalez to decide, bring to me first and I will take it to her. Keep the shared engagement file current, so neither of us is working from a private copy.</w:t>
      </w:r>
    </w:p>
    <w:p>
      <w:r>
        <w:t>The test of a finished opening phase is simple. We can set the present structure on one page, name the two or three places where it costs the business, and point to the evidence behind each. Until we can do that, the phase is not done, whatever the calendar says. First step is the consolidated data request. Draft it by Friday and send it to me, and I will add the client contacts before it goes out.</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Calderwood Partners LLC</w:t>
    </w:r>
  </w:p>
  <w:p>
    <w:r>
      <w:rPr>
        <w:sz w:val="18"/>
      </w:rPr>
      <w:t>www.calderwoodpartners.com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Calderwood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Kickoff Memo: Organization Design for Stark-Wilson</dc:title>
  <dc:subject/>
  <dc:creator>Julie Parks</dc:creator>
  <cp:keywords/>
  <dc:description>generated by python-docx</dc:description>
  <cp:lastModifiedBy>Julie Parks</cp:lastModifiedBy>
  <cp:revision>1</cp:revision>
  <dcterms:created xsi:type="dcterms:W3CDTF">2011-05-13T09:00:00Z</dcterms:created>
  <dcterms:modified xsi:type="dcterms:W3CDTF">2011-05-13T09:00:00Z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