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Organization Design for Stark-Wilson</w:t>
      </w:r>
    </w:p>
    <w:p>
      <w:r>
        <w:t>Prepared for the client sponsor at Stark-Wilson.</w:t>
      </w:r>
    </w:p>
    <w:p>
      <w:r>
        <w:t>Prepared by Julie Parks, Senior Engagement Manager, Advisory.</w:t>
      </w:r>
    </w:p>
    <w:p>
      <w:r>
        <w:t>This report covers the organization design engagement for Stark-Wilson. The engagement is at its midpoint. Progress matches the plan set at kickoff. The diagnostic phase is complete. The design phase has begun. Effort and fees to date remain within the engagement budget. No change to scope, fee, or timeline is requested in this report. The client team has been responsive, and the flow of data has been adequate for the diagnostic.</w:t>
      </w:r>
    </w:p>
    <w:p>
      <w:pPr>
        <w:pStyle w:val="Heading2"/>
      </w:pPr>
      <w:r>
        <w:t>Status</w:t>
      </w:r>
    </w:p>
    <w:p>
      <w:r>
        <w:t>The work is on plan. The current-state picture is settled. The team is now building the future-state design on that base. A few dependencies could affect pace. They are listed under risks. None of them threatens the result. The client's project team has kept pace with our requests to date.</w:t>
      </w:r>
    </w:p>
    <w:p>
      <w:pPr>
        <w:pStyle w:val="Heading2"/>
      </w:pPr>
      <w:r>
        <w:t>Completed this period</w:t>
      </w:r>
    </w:p>
    <w:p>
      <w:r>
        <w:t>The following work is finished and has been reviewed internally before release. Each finding rests on the underlying data. Where the evidence is directional rather than conclusive, it is marked as such, and that qualification will carry into the interim deliverable.</w:t>
      </w:r>
    </w:p>
    <w:p>
      <w:pPr>
        <w:pStyle w:val="ListBullet"/>
      </w:pPr>
      <w:r>
        <w:t>Current-state mapping is complete for the corporate functions and the two operating units in scope. It covers reporting lines, headcount, and the principal activities of each group.</w:t>
      </w:r>
    </w:p>
    <w:p>
      <w:pPr>
        <w:pStyle w:val="ListBullet"/>
      </w:pPr>
      <w:r>
        <w:t>Deborah Gordon has completed the external benchmarking of spans and layers against the agreed comparator set. The reading is directional. It suggests a heavier middle layer than peer organizations carry. We will quantify the gap in the deliverable rather than assert a figure here.</w:t>
      </w:r>
    </w:p>
    <w:p>
      <w:pPr>
        <w:pStyle w:val="ListBullet"/>
      </w:pPr>
      <w:r>
        <w:t>Reported headcount and reporting relationships have been reconciled against the payroll extract your finance team supplied. The result is largely clean. A small number of discrepancies remain open, and they are noted under risks.</w:t>
      </w:r>
    </w:p>
    <w:p>
      <w:pPr>
        <w:pStyle w:val="ListBullet"/>
      </w:pPr>
      <w:r>
        <w:t>Leadership interviews are substantially complete. Ten of twelve are held and documented. The two remaining interviews are a dependency for the next phase.</w:t>
      </w:r>
    </w:p>
    <w:p>
      <w:pPr>
        <w:pStyle w:val="Heading2"/>
      </w:pPr>
      <w:r>
        <w:t>Budget</w:t>
      </w:r>
    </w:p>
    <w:p>
      <w:r>
        <w:t>Effort to date is consistent with a midpoint position against the fixed fee of $90,500 agreed for the engagement. I expect the remaining work to complete within that figure. If a scope question arises that would bear on it, I will raise it with you before the cost is incurred.</w:t>
      </w:r>
    </w:p>
    <w:p>
      <w:pPr>
        <w:pStyle w:val="Heading2"/>
      </w:pPr>
      <w:r>
        <w:t>Interim deliverable</w:t>
      </w:r>
    </w:p>
    <w:p>
      <w:r>
        <w:t>A short interim deliverable will follow at the close of the diagnostic. It will set down the current-state maps, the benchmarking with its qualifications, and the reconciled headcount. It is a baseline, not a decision document. Its purpose is to give your leadership team a common footing before the design principles are presented. We will send it ahead of the review so your team can gather comments before we meet.</w:t>
      </w:r>
    </w:p>
    <w:p>
      <w:pPr>
        <w:pStyle w:val="Heading2"/>
      </w:pPr>
      <w:r>
        <w:t>Planned for the coming weeks</w:t>
      </w:r>
    </w:p>
    <w:p>
      <w:r>
        <w:t>The next period moves the work from diagnosis into design. The order below is the sequence we recommend. Each step depends on the one before it.</w:t>
      </w:r>
    </w:p>
    <w:p>
      <w:pPr>
        <w:pStyle w:val="ListBullet"/>
      </w:pPr>
      <w:r>
        <w:t>Draft the design principles for the future-state organization. These will be confirmed with you before detailed design begins, so the structure follows agreed criteria.</w:t>
      </w:r>
    </w:p>
    <w:p>
      <w:pPr>
        <w:pStyle w:val="ListBullet"/>
      </w:pPr>
      <w:r>
        <w:t>Develop role definitions for the top two layers, including the accountabilities and the principal decision rights of each role.</w:t>
      </w:r>
    </w:p>
    <w:p>
      <w:pPr>
        <w:pStyle w:val="ListBullet"/>
      </w:pPr>
      <w:r>
        <w:t>Prepare a first view of spans, layers, and reporting lines for the corporate functions, tested against the benchmarking.</w:t>
      </w:r>
    </w:p>
    <w:p>
      <w:pPr>
        <w:pStyle w:val="ListBullet"/>
      </w:pPr>
      <w:r>
        <w:t>Hold an internal working session to test the draft structure against the principles before it is shown to you, so your review can stay on the substance.</w:t>
      </w:r>
    </w:p>
    <w:p>
      <w:pPr>
        <w:pStyle w:val="Heading2"/>
      </w:pPr>
      <w:r>
        <w:t>Risks and dependencies</w:t>
      </w:r>
    </w:p>
    <w:p>
      <w:r>
        <w:t>Three items carry the most schedule risk. None of them threatens the outcome. Each can be managed with your team's help.</w:t>
      </w:r>
    </w:p>
    <w:p>
      <w:pPr>
        <w:pStyle w:val="ListBullet"/>
      </w:pPr>
      <w:r>
        <w:t>Cost data for the shared services function is not yet in a usable form. Work can proceed on the current basis. The benchmarking of that function stays provisional until the data is confirmed, and I would prefer to close it before the design principles are set.</w:t>
      </w:r>
    </w:p>
    <w:p>
      <w:pPr>
        <w:pStyle w:val="ListBullet"/>
      </w:pPr>
      <w:r>
        <w:t>The two outstanding leadership interviews sit on the critical path for the design principles. Both should be scheduled within the next two weeks so the design phase is not delayed.</w:t>
      </w:r>
    </w:p>
    <w:p>
      <w:pPr>
        <w:pStyle w:val="ListBullet"/>
      </w:pPr>
      <w:r>
        <w:t>The reporting-line discrepancies found during reconciliation should be resolved before the future-state chart is finalized, to avoid rework in the design phase.</w:t>
      </w:r>
    </w:p>
    <w:p>
      <w:pPr>
        <w:pStyle w:val="Heading2"/>
      </w:pPr>
      <w:r>
        <w:t>What I need from you</w:t>
      </w:r>
    </w:p>
    <w:p>
      <w:r>
        <w:t>The engagement remains on plan and the budget is intact. To hold the design schedule, one item needs your attention now: confirmation of the two remaining leadership interviews. I will send proposed times this week. Once those sessions are held, we will circulate the draft design principles for your review the following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Organization Design for Stark-Wilson</dc:title>
  <dc:subject/>
  <dc:creator>Julie Parks</dc:creator>
  <cp:keywords/>
  <dc:description>generated by python-docx</dc:description>
  <cp:lastModifiedBy>Julie Parks</cp:lastModifiedBy>
  <cp:revision>1</cp:revision>
  <dcterms:created xsi:type="dcterms:W3CDTF">2011-07-17T09:00:00Z</dcterms:created>
  <dcterms:modified xsi:type="dcterms:W3CDTF">2011-07-17T09:00:00Z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