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Deborah Jimenez, Engagement Manager</w:t>
        <w:br/>
        <w:t>From: Joseph Reed, Research Associate</w:t>
        <w:br/>
        <w:t>Re: Kickoff and workplan -- Channel Strategy for Stark-Wilson</w:t>
      </w:r>
    </w:p>
    <w:p>
      <w:r>
        <w:t>This engagement is about how Stark-Wilson reaches its market. We are here to sort out which channels earn their place and which do not. Our sponsor on the client side is Julie Gonzalez, their Director of Operations, and she has been clear that she wants a strategy her own team can run, not one that only reads well in a deck. That standard should shape what we look at first. I want to set out how I see the work dividing before we begin.</w:t>
      </w:r>
    </w:p>
    <w:p>
      <w:r>
        <w:t>A word on how we will work with the client. Julie Gonzalez and her team hold the data and the day-to-day knowledge of the channels, so the pace of the analysis depends on a steady, light flow of requests rather than one large ask up front. We will keep each request small and specific, and we will tell them plainly when something we asked for turns out not to matter. The more we behave like part of their week and less like an audit, the faster the good data comes back.</w:t>
      </w:r>
    </w:p>
    <w:p>
      <w:pPr>
        <w:pStyle w:val="Heading2"/>
      </w:pPr>
      <w:r>
        <w:t>How the work divides</w:t>
      </w:r>
    </w:p>
    <w:p>
      <w:pPr>
        <w:pStyle w:val="ListBullet"/>
      </w:pPr>
      <w:r>
        <w:t>Map the channels as they run today. Every route to market, the volume through each, and who owns it on the client side.</w:t>
      </w:r>
    </w:p>
    <w:p>
      <w:pPr>
        <w:pStyle w:val="ListBullet"/>
      </w:pPr>
      <w:r>
        <w:t>Build the channel economics. Margin and cost to serve, route by route, reconciled to the ledger so a later recommendation rests on a measured number and not a guess. I will own this piece and open the data requests in the first week.</w:t>
      </w:r>
    </w:p>
    <w:p>
      <w:pPr>
        <w:pStyle w:val="ListBullet"/>
      </w:pPr>
      <w:r>
        <w:t>Shape the options. Two or three candidate channel mixes, each tested against today for what it earns and what it asks the organization to change.</w:t>
      </w:r>
    </w:p>
    <w:p>
      <w:pPr>
        <w:pStyle w:val="ListBullet"/>
      </w:pPr>
      <w:r>
        <w:t>Plan the handover. Once a direction is set, lay out the steps and the owners so the client's team can carry it forward without us in the room.</w:t>
      </w:r>
    </w:p>
    <w:p>
      <w:r>
        <w:t>These are not four separate projects. The map feeds the economics. The economics discipline the options. The handover only makes sense once a direction is settled. I put them in this order on purpose. The temptation on work like this is to jump to the options before the current picture is solid, and options built on a shaky base tend to come apart the first time they meet a number from the floor. We will hold the order even when the client would like to see options sooner.</w:t>
      </w:r>
    </w:p>
    <w:p>
      <w:r>
        <w:t>One habit I want us to hold from the first day. Every number we put in front of the client should tie to something in their ledger, and we should be able to say where it came from. When we cannot, we say so, and we mark the figure as provisional until it firms up. That is how the economics stay trustworthy as the options take shape.</w:t>
      </w:r>
    </w:p>
    <w:p>
      <w:pPr>
        <w:pStyle w:val="Heading2"/>
      </w:pPr>
      <w:r>
        <w:t>First moves</w:t>
      </w:r>
    </w:p>
    <w:p>
      <w:r>
        <w:t>Work begins on April 1, 2020. I will get the first data request to Julie Gonzalez's team by the end of the first week, kept deliberately short so we are not waiting on a long list before we can start. The early request is only the channel volumes and the cost lines behind them, which is enough to stand the economics up and to show the client what a small, specific ask looks like.</w:t>
      </w:r>
    </w:p>
    <w:p>
      <w:r>
        <w:t>A couple of things on our side. Deborah Jimenez will keep the cadence of our working sessions and the client status reports, so the rhythm is set from the outset. I would also like the two of us to walk through the approach together before we sit down with the client, so we arrive with one account of it and not two.</w:t>
      </w:r>
    </w:p>
    <w:p>
      <w:r>
        <w:t>I will circulate a short, dated schedule ahead of the first client session, with our internal checkpoints marked on it. If either of us sees a conflict in the opening weeks, tell me and we will work around it before the client dates are fixed.</w:t>
      </w:r>
    </w:p>
    <w:p>
      <w:r>
        <w:t>The first step is the data request. I will draft it this week and send it to Deborah Jimenez for a look before it goes to the client.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Channel Strategy for Stark-Wilson</dc:title>
  <dc:subject/>
  <dc:creator>Joseph Reed</dc:creator>
  <cp:keywords/>
  <dc:description>generated by python-docx</dc:description>
  <cp:lastModifiedBy>Joseph Reed</cp:lastModifiedBy>
  <cp:revision>1</cp:revision>
  <dcterms:created xsi:type="dcterms:W3CDTF">2020-04-04T09:00:00Z</dcterms:created>
  <dcterms:modified xsi:type="dcterms:W3CDTF">2020-04-04T09:00:00Z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