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Status Report -- Channel Strategy for Stark-Wilson</w:t>
      </w:r>
    </w:p>
    <w:p>
      <w:r>
        <w:t>This is our midpoint update on the channel strategy work for Stark-Wilson. Joseph Reed prepared it and Deborah Jimenez has reviewed it. It covers where we stand, what we have done since the last report, what comes next, and the few things we are watching.</w:t>
      </w:r>
    </w:p>
    <w:p>
      <w:pPr>
        <w:pStyle w:val="Heading2"/>
      </w:pPr>
      <w:r>
        <w:t>Where we stand</w:t>
      </w:r>
    </w:p>
    <w:p>
      <w:r>
        <w:t>The work is on plan at the midpoint. The channel map is settled and the economics are nearly closed. We have moved from understanding the current channels to shaping the options that will follow them. There is no change to scope, fee, or timeline requested in this report.</w:t>
      </w:r>
    </w:p>
    <w:p>
      <w:r>
        <w:t>Effort and cost to date sit within the fixed fee of $71,000. We have spent roughly what we expected to at this stage, weighted toward the analysis, and we see nothing in the remaining work that would push us past it. Your team has kept pace with our requests, which is a large part of why we are on plan. When the flow of data is steady, the analysis does not stall, and that has been the pattern so far.</w:t>
      </w:r>
    </w:p>
    <w:p>
      <w:pPr>
        <w:pStyle w:val="Heading2"/>
      </w:pPr>
      <w:r>
        <w:t>What we have done since the last report</w:t>
      </w:r>
    </w:p>
    <w:p>
      <w:r>
        <w:t>We finished the channel map. Every route Stark-Wilson uses to reach its market is now traced, with the volume and the internal owner recorded for each. Where the documented flow and the real one differed, we took the real one, which is the point of doing the map at all. The map is the base everything else is built on, so we held it open until your operators agreed it matched what they see.</w:t>
      </w:r>
    </w:p>
    <w:p>
      <w:r>
        <w:t>We built the channel economics. Margin and cost to serve are now assembled route by route and reconciled to the ledger, so the recommendations to come will rest on measured numbers rather than estimates. Reconciling to the ledger took longer than a rough estimate would have, and it is worth it, because a number that ties can survive a hard question in a way an estimate cannot. The early reading is that at least one route carries more cost to serve than its share of volume would suggest, which is exactly the kind of thing the option work has to weigh.</w:t>
      </w:r>
    </w:p>
    <w:p>
      <w:r>
        <w:t>We closed most of the open data. Your team turned the channel volumes around quickly. Only one figure, the distributor cost-to-serve allocation, is still with finance, and until it lands that part of the picture stays provisional. We have kept the request for it small and specific so it is easy to answer.</w:t>
      </w:r>
    </w:p>
    <w:p>
      <w:pPr>
        <w:pStyle w:val="Heading2"/>
      </w:pPr>
      <w:r>
        <w:t>What comes next</w:t>
      </w:r>
    </w:p>
    <w:p>
      <w:r>
        <w:t>The next phase is option design. We will shape two or three candidate channel mixes and test each against today for what it earns and what it asks the organization to change. We will describe every option in terms your managers can act on, because a mix the team cannot run is not a real option.</w:t>
      </w:r>
    </w:p>
    <w:p>
      <w:r>
        <w:t>Each option will carry its own economics, so a choice between them is a choice you can make on the numbers and not on impression. We will also be plain about what each one asks of the organization to stand up, since the cost of a change is part of its price and belongs in the comparison.</w:t>
      </w:r>
    </w:p>
    <w:p>
      <w:r>
        <w:t>We expect to bring the options and their trade-offs to you before any direction is fixed. Our aim is a clear, honest set of choices, each with its costs shown, so that the decision is yours to make on the merits. We will lay the options side by side and walk your team through them in a working session before anything is settled.</w:t>
      </w:r>
    </w:p>
    <w:p>
      <w:pPr>
        <w:pStyle w:val="Heading2"/>
      </w:pPr>
      <w:r>
        <w:t>What we are watching</w:t>
      </w:r>
    </w:p>
    <w:p>
      <w:r>
        <w:t>Two things could affect pace, and neither threatens the result. The first is the distributor allocation still with finance; until it lands, the distributor margin stays provisional, and we have asked for it inside the week. The second is calendar time with the two channel managers, which we need to test the options against how the channels actually run.</w:t>
      </w:r>
    </w:p>
    <w:p>
      <w:r>
        <w:t>Deborah Jimenez is holding those sessions open and will confirm them as soon as your side can. Neither item is on a critical path yet, and we will flag it plainly here the moment either one starts to bite.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Channel Strategy for Stark-Wilson (draft)</dc:title>
  <dc:subject/>
  <dc:creator>Joseph Reed</dc:creator>
  <cp:keywords/>
  <dc:description>generated by python-docx</dc:description>
  <cp:lastModifiedBy>Joseph Reed</cp:lastModifiedBy>
  <cp:revision>1</cp:revision>
  <dcterms:created xsi:type="dcterms:W3CDTF">2020-06-11T09:00:00Z</dcterms:created>
  <dcterms:modified xsi:type="dcterms:W3CDTF">2020-06-11T09:00:00Z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