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w:t>
      </w:r>
    </w:p>
    <w:p>
      <w:r>
        <w:t>These minutes record the working session we held on the organization design engagement for Stark-Wilson, at which the engagement team and the client reviewed the current-state read and settled the questions the design work will take up next. They set down who was with us, what we discussed, and the actions each side agreed to carry before we meet again.</w:t>
      </w:r>
    </w:p>
    <w:p>
      <w:pPr>
        <w:pStyle w:val="Heading2"/>
      </w:pPr>
      <w:r>
        <w:t>Present</w:t>
      </w:r>
    </w:p>
    <w:p>
      <w:pPr>
        <w:pStyle w:val="ListBullet"/>
      </w:pPr>
      <w:r>
        <w:t>Julie Parks, Senior Engagement Manager, Calderwood Partners (chair)</w:t>
      </w:r>
    </w:p>
    <w:p>
      <w:pPr>
        <w:pStyle w:val="ListBullet"/>
      </w:pPr>
      <w:r>
        <w:t>Deborah Gordon, Associate, Calderwood Partners</w:t>
      </w:r>
    </w:p>
    <w:p>
      <w:pPr>
        <w:pStyle w:val="ListBullet"/>
      </w:pPr>
      <w:r>
        <w:t>Julie Gonzalez, Director of Operations, Stark-Wilson</w:t>
      </w:r>
    </w:p>
    <w:p>
      <w:pPr>
        <w:pStyle w:val="Heading2"/>
      </w:pPr>
      <w:r>
        <w:t>Discussion</w:t>
      </w:r>
    </w:p>
    <w:p>
      <w:r>
        <w:t>I walked the group through the current-state read, which is now substantially complete across the largest functions and under way on the rest. My account was that the reporting lines hold together cleanly within each function taken on its own, but that the picture changes at the seams between functions, where the same responsibility is claimed by two managers and, in a couple of places, by none. Julie Parks was careful to have us treat this as an observation drawn from the charts and the interviews rather than as a criticism of anyone.</w:t>
      </w:r>
    </w:p>
    <w:p>
      <w:r>
        <w:t>We spent most of the hour on spans and layers, and in particular on where the structure has grown heavier than the work requires. Julie Gonzalez confirmed the pattern from her own vantage and noted that several of the reporting lines had been added in stages as the business grew, with the result that a few managers now carry a span of one or two people while others carry far more than they can attend to. We agreed that the design should separate the layers that exist to do the work from those that exist only to relieve a title, since a recommendation that ignored that distinction would not survive contact with the operation.</w:t>
      </w:r>
    </w:p>
    <w:p>
      <w:r>
        <w:t>One question we left open by agreement. Julie Parks set out the choice plainly: the design can either redraw a single function end to end as a demonstration, which is the more contained course and the easier to adjust should the managers push back, or it can take up the cross-cutting decision rights at once, which is the more ambitious course and the harder to reverse. No one pressed for a decision in the room, since the call belongs to the client's leadership and we will bring it to them framed as a choice rather than as the firm's conclusion.</w:t>
      </w:r>
    </w:p>
    <w:p>
      <w:pPr>
        <w:pStyle w:val="Heading2"/>
      </w:pPr>
      <w:r>
        <w:t>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Due</w:t>
            </w:r>
          </w:p>
        </w:tc>
      </w:tr>
      <w:tr>
        <w:tc>
          <w:tcPr>
            <w:tcW w:type="dxa" w:w="2160"/>
          </w:tcPr>
          <w:p>
            <w:r>
              <w:t>1</w:t>
            </w:r>
          </w:p>
        </w:tc>
        <w:tc>
          <w:tcPr>
            <w:tcW w:type="dxa" w:w="2160"/>
          </w:tcPr>
          <w:p>
            <w:r>
              <w:t>Close the current-state read on the remaining functions and schedule the two outstanding interviews</w:t>
            </w:r>
          </w:p>
        </w:tc>
        <w:tc>
          <w:tcPr>
            <w:tcW w:type="dxa" w:w="2160"/>
          </w:tcPr>
          <w:p>
            <w:r>
              <w:t>Deborah Gordon</w:t>
            </w:r>
          </w:p>
        </w:tc>
        <w:tc>
          <w:tcPr>
            <w:tcW w:type="dxa" w:w="2160"/>
          </w:tcPr>
          <w:p>
            <w:r>
              <w:t>Within the week</w:t>
            </w:r>
          </w:p>
        </w:tc>
      </w:tr>
      <w:tr>
        <w:tc>
          <w:tcPr>
            <w:tcW w:type="dxa" w:w="2160"/>
          </w:tcPr>
          <w:p>
            <w:r>
              <w:t>2</w:t>
            </w:r>
          </w:p>
        </w:tc>
        <w:tc>
          <w:tcPr>
            <w:tcW w:type="dxa" w:w="2160"/>
          </w:tcPr>
          <w:p>
            <w:r>
              <w:t>Confirm which roles are claimed by two managers at once, and which by none</w:t>
            </w:r>
          </w:p>
        </w:tc>
        <w:tc>
          <w:tcPr>
            <w:tcW w:type="dxa" w:w="2160"/>
          </w:tcPr>
          <w:p>
            <w:r>
              <w:t>Julie Gonzalez</w:t>
            </w:r>
          </w:p>
        </w:tc>
        <w:tc>
          <w:tcPr>
            <w:tcW w:type="dxa" w:w="2160"/>
          </w:tcPr>
          <w:p>
            <w:r>
              <w:t>Before next session</w:t>
            </w:r>
          </w:p>
        </w:tc>
      </w:tr>
      <w:tr>
        <w:tc>
          <w:tcPr>
            <w:tcW w:type="dxa" w:w="2160"/>
          </w:tcPr>
          <w:p>
            <w:r>
              <w:t>3</w:t>
            </w:r>
          </w:p>
        </w:tc>
        <w:tc>
          <w:tcPr>
            <w:tcW w:type="dxa" w:w="2160"/>
          </w:tcPr>
          <w:p>
            <w:r>
              <w:t>Frame the single-function-versus-cross-cutting choice as a short decision paper for leadership</w:t>
            </w:r>
          </w:p>
        </w:tc>
        <w:tc>
          <w:tcPr>
            <w:tcW w:type="dxa" w:w="2160"/>
          </w:tcPr>
          <w:p>
            <w:r>
              <w:t>Julie Parks</w:t>
            </w:r>
          </w:p>
        </w:tc>
        <w:tc>
          <w:tcPr>
            <w:tcW w:type="dxa" w:w="2160"/>
          </w:tcPr>
          <w:p>
            <w:r>
              <w:t>Next session</w:t>
            </w:r>
          </w:p>
        </w:tc>
      </w:tr>
    </w:tbl>
    <w:p>
      <w:r>
        <w:t>The item that gates our next session is the second action, since until we know where the responsibilities genuinely sit we cannot separate what the design can settle now from what has to wait; once Julie Gonzalez's team has confirmed those, I will circulate a first outline of the design options ahead of the meeting.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Organization Design for Stark-Wilson</dc:title>
  <dc:subject/>
  <dc:creator>Deborah Gordon</dc:creator>
  <cp:keywords/>
  <dc:description>generated by python-docx</dc:description>
  <cp:lastModifiedBy>Deborah Gordon</cp:lastModifiedBy>
  <cp:revision>1</cp:revision>
  <dcterms:created xsi:type="dcterms:W3CDTF">2011-07-04T09:00:00Z</dcterms:created>
  <dcterms:modified xsi:type="dcterms:W3CDTF">2011-07-04T09:00:00Z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