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Working Session -- Channel Strategy for Stark-Wilson</w:t>
      </w:r>
    </w:p>
    <w:p>
      <w:r>
        <w:t>The session settled one point that shapes the next two weeks: we will close the channel economics and move to option design, once the distributor cost-to-serve figures are confirmed. The channel map holds. The economics are all but complete. These minutes record who attended, what we covered, and who owns each next step.</w:t>
      </w:r>
    </w:p>
    <w:p>
      <w:pPr>
        <w:pStyle w:val="Heading2"/>
      </w:pPr>
      <w:r>
        <w:t>Present</w:t>
      </w:r>
    </w:p>
    <w:p>
      <w:pPr>
        <w:pStyle w:val="ListBullet"/>
      </w:pPr>
      <w:r>
        <w:t>Deborah Jimenez, Engagement Manager</w:t>
      </w:r>
    </w:p>
    <w:p>
      <w:pPr>
        <w:pStyle w:val="ListBullet"/>
      </w:pPr>
      <w:r>
        <w:t>Joseph Reed, Research Associate</w:t>
      </w:r>
    </w:p>
    <w:p>
      <w:pPr>
        <w:pStyle w:val="ListBullet"/>
      </w:pPr>
      <w:r>
        <w:t>Julie Gonzalez, Director of Operations, Stark-Wilson</w:t>
      </w:r>
    </w:p>
    <w:p>
      <w:pPr>
        <w:pStyle w:val="Heading2"/>
      </w:pPr>
      <w:r>
        <w:t>Where the economics stand</w:t>
      </w:r>
    </w:p>
    <w:p>
      <w:r>
        <w:t>Joseph Reed walked through the channel economics. Margin and cost to serve are now built for every route to market. The picture lines up with the channel map from the earlier weeks, with the usual small gaps between the documented flow and the real one. One figure is still soft. The cost to serve for the distributor channel rests on an allocation the client's finance team has not yet confirmed. Until that lands, the distributor margin stays provisional. Nothing else in the economics is open.</w:t>
      </w:r>
    </w:p>
    <w:p>
      <w:r>
        <w:t>The early reading is worth recording. At least one route carries more cost to serve than its share of volume would suggest. That is not a finding yet, only a signal, and the option work is where it gets tested. We agreed not to draw conclusions from it before the allocation is confirmed.</w:t>
      </w:r>
    </w:p>
    <w:p>
      <w:pPr>
        <w:pStyle w:val="Heading2"/>
      </w:pPr>
      <w:r>
        <w:t>Data still open</w:t>
      </w:r>
    </w:p>
    <w:p>
      <w:r>
        <w:t>One item is outstanding on the client side. The distributor cost-to-serve allocation sits with the finance team and has not come back. Joseph Reed has told them exactly what he needs to split it. The request is small and specific, and it should not take a full re-post to answer.</w:t>
      </w:r>
    </w:p>
    <w:p>
      <w:pPr>
        <w:pStyle w:val="Heading2"/>
      </w:pPr>
      <w:r>
        <w:t>The standard the strategy has to meet</w:t>
      </w:r>
    </w:p>
    <w:p>
      <w:r>
        <w:t>Julie Gonzalez restated the test for the work. Her managers have to be able to run the new channel mix after we leave. She has seen strategies that read well and stalled in operation. We agreed to describe each option in terms of what it asks her team to do differently. An elegant mix her people cannot run does not count as a candidate.</w:t>
      </w:r>
    </w:p>
    <w:p>
      <w:pPr>
        <w:pStyle w:val="Heading2"/>
      </w:pPr>
      <w:r>
        <w:t>Moving to options</w:t>
      </w:r>
    </w:p>
    <w:p>
      <w:r>
        <w:t>The plan from here is two or three candidate channel mixes. Each is tested against today for what it earns and what it changes. We agreed not to show options before the economics are firm. Julie Gonzalez asked whether confirming the distributor figures puts the finish at risk. It does not, provided the finance team returns the allocation inside the week. The option work is scoped to absorb the short hold without moving the end of the engagement.</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Owner</w:t>
            </w:r>
          </w:p>
        </w:tc>
        <w:tc>
          <w:tcPr>
            <w:tcW w:type="dxa" w:w="2880"/>
          </w:tcPr>
          <w:p>
            <w:r>
              <w:rPr>
                <w:b/>
              </w:rPr>
              <w:t>Action</w:t>
            </w:r>
          </w:p>
        </w:tc>
        <w:tc>
          <w:tcPr>
            <w:tcW w:type="dxa" w:w="2880"/>
          </w:tcPr>
          <w:p>
            <w:r>
              <w:rPr>
                <w:b/>
              </w:rPr>
              <w:t>Due</w:t>
            </w:r>
          </w:p>
        </w:tc>
      </w:tr>
      <w:tr>
        <w:tc>
          <w:tcPr>
            <w:tcW w:type="dxa" w:w="2880"/>
          </w:tcPr>
          <w:p>
            <w:r>
              <w:t>Julie Gonzalez</w:t>
            </w:r>
          </w:p>
        </w:tc>
        <w:tc>
          <w:tcPr>
            <w:tcW w:type="dxa" w:w="2880"/>
          </w:tcPr>
          <w:p>
            <w:r>
              <w:t>Have the finance team confirm the distributor cost-to-serve allocation, or point Joseph Reed to the underlying detail</w:t>
            </w:r>
          </w:p>
        </w:tc>
        <w:tc>
          <w:tcPr>
            <w:tcW w:type="dxa" w:w="2880"/>
          </w:tcPr>
          <w:p>
            <w:r>
              <w:t>Within one week</w:t>
            </w:r>
          </w:p>
        </w:tc>
      </w:tr>
      <w:tr>
        <w:tc>
          <w:tcPr>
            <w:tcW w:type="dxa" w:w="2880"/>
          </w:tcPr>
          <w:p>
            <w:r>
              <w:t>Joseph Reed</w:t>
            </w:r>
          </w:p>
        </w:tc>
        <w:tc>
          <w:tcPr>
            <w:tcW w:type="dxa" w:w="2880"/>
          </w:tcPr>
          <w:p>
            <w:r>
              <w:t>Close the channel economics once the allocation is confirmed and lock the base for option design</w:t>
            </w:r>
          </w:p>
        </w:tc>
        <w:tc>
          <w:tcPr>
            <w:tcW w:type="dxa" w:w="2880"/>
          </w:tcPr>
          <w:p>
            <w:r>
              <w:t>End of next week</w:t>
            </w:r>
          </w:p>
        </w:tc>
      </w:tr>
      <w:tr>
        <w:tc>
          <w:tcPr>
            <w:tcW w:type="dxa" w:w="2880"/>
          </w:tcPr>
          <w:p>
            <w:r>
              <w:t>Deborah Jimenez</w:t>
            </w:r>
          </w:p>
        </w:tc>
        <w:tc>
          <w:tcPr>
            <w:tcW w:type="dxa" w:w="2880"/>
          </w:tcPr>
          <w:p>
            <w:r>
              <w:t>Confirm the option-review date with the client and circulate the agenda</w:t>
            </w:r>
          </w:p>
        </w:tc>
        <w:tc>
          <w:tcPr>
            <w:tcW w:type="dxa" w:w="2880"/>
          </w:tcPr>
          <w:p>
            <w:r>
              <w:t>On close of the economics</w:t>
            </w:r>
          </w:p>
        </w:tc>
      </w:tr>
    </w:tbl>
    <w:p>
      <w:r>
        <w:t>The next step is the allocation. Once finance returns it, Joseph Reed closes the economics and option design begins. Nothing downstream moves until that figure is confirmed.</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Channel Strategy for Stark-Wilson</dc:title>
  <dc:subject/>
  <dc:creator>Deborah Jimenez</dc:creator>
  <cp:keywords/>
  <dc:description>generated by python-docx</dc:description>
  <cp:lastModifiedBy>Deborah Jimenez</cp:lastModifiedBy>
  <cp:revision>1</cp:revision>
  <dcterms:created xsi:type="dcterms:W3CDTF">2020-05-28T09:00:00Z</dcterms:created>
  <dcterms:modified xsi:type="dcterms:W3CDTF">2020-05-28T09:00:00Z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