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To: Jason Torres, Brenda Rodriguez</w:t>
        <w:br/>
        <w:t>From: John Vasquez</w:t>
        <w:br/>
        <w:t>Re: Kickoff of the working capital program for Walker-Murray</w:t>
      </w:r>
    </w:p>
    <w:p>
      <w:r>
        <w:t>The point of this memo is to fix who owns what before the working capital program for Walker-Murray gets under way, so that we begin in step rather than sort it out on the run. The engagement begins on August 9, 2013, and the opening weeks belong to gathering and cleaning the client's data rather than to analysis. Nothing we conclude later will be worth more than the figures it rests on, so the figures come first, and the plan below is built around getting them clean before anyone reaches for a recommendation.</w:t>
      </w:r>
    </w:p>
    <w:p>
      <w:r>
        <w:t>What this first phase produces is a current-state picture the client and we both accept: how long cash sits in receivables, payables, and inventory today, and where the largest and most reachable balances are. It does not produce recommendations, which come later and only once the underlying numbers are agreed, and I say that plainly here so we do not let an early read harden into a conclusion before the data supports it.</w:t>
      </w:r>
    </w:p>
    <w:p>
      <w:r>
        <w:t>The work divides into three strands. The first is the data, which is mine. I will pull the receivables aging, the payables terms, and the inventory records, and reconcile each against the trial balance so that we are working from numbers the client's own finance team will recognize. Where a figure will not tie out I will flag the gap rather than smooth it over, and I will keep a short log of what I pulled and how, so that any number can be reproduced without my having to remember it. James Keller, the Director of Operations at Walker-Murray, is our point of access on their side, and I will route every request through him so that we ask once and ask cleanly rather than pester different people for the same file.</w:t>
      </w:r>
    </w:p>
    <w:p>
      <w:r>
        <w:t>The second strand is the analysis, which Brenda Rodriguez leads. Once the data is clean she will build the working capital picture from it, measuring how long cash is tied up across each of the three areas and marking where the largest and most reachable balances sit. She and I will keep a shared record of every figure and its source, so that any number we later put in front of the client can be traced without a second search. The third strand is the client-facing thread, which Jason Torres owns; he will set the cadence of the check-ins and be the single voice the client hears from us, so that our messages do not arrive from three directions at once.</w:t>
      </w:r>
    </w:p>
    <w:p>
      <w:r>
        <w:t>On resourcing, David Wilson has the three of us blocked for the engagement, and I have asked him to confirm the allocation in writing so the calendar holds against the other work in the office. For the coming week the priority is access and the first request. I will send the opening data request to James Keller by Friday; Brenda Rodriguez will stand up the model skeleton so that it is ready the moment the extracts land; and Jason Torres will confirm the check-in schedule with the client and circulate it to us. What I need from each of you before we meet again is your list of the documents and contacts your part of the work will require, sent to me by the end of the week, so that I can fold it into one request to the client rather than several.</w:t>
      </w:r>
    </w:p>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4A2E2A"/>
        <w:sz w:val="28"/>
      </w:rPr>
      <w:t>Calderwood Partners LLC</w:t>
    </w:r>
  </w:p>
  <w:p>
    <w:r>
      <w:rPr>
        <w:sz w:val="18"/>
      </w:rPr>
      <w:t>www.calderwoodpartners.com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Calderwood Partners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Kickoff Memo: Working Capital Program for Walker-Murray</dc:title>
  <dc:subject/>
  <dc:creator>John Vasquez</dc:creator>
  <cp:keywords/>
  <dc:description>generated by python-docx</dc:description>
  <cp:lastModifiedBy>John Vasquez</cp:lastModifiedBy>
  <cp:revision>1</cp:revision>
  <dcterms:created xsi:type="dcterms:W3CDTF">2013-08-12T09:00:00Z</dcterms:created>
  <dcterms:modified xsi:type="dcterms:W3CDTF">2013-08-12T09:00:00Z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