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Working Capital Program for Walker-Murray</w:t>
      </w:r>
    </w:p>
    <w:p>
      <w:r>
        <w:t>This report covers the engagement through 20 November 2013. I prepared it for the executive sponsor at Walker-Murray, and Jason Torres, who leads the engagement, will carry the open items into the next review. The short version is that we are at the halfway mark and on plan, with the receivables and payables work far enough along to act on and one genuine problem, in the inventory data, that I set out plainly below rather than let it pass in the summary.</w:t>
      </w:r>
    </w:p>
    <w:p>
      <w:pPr>
        <w:pStyle w:val="Heading2"/>
      </w:pPr>
      <w:r>
        <w:t>Where things stand</w:t>
      </w:r>
    </w:p>
    <w:p>
      <w:r>
        <w:t>The engagement is at its midpoint and on its timeline. The work this period turned from gathering the client's data to reading it, and two of the three areas we set out to examine now rest on numbers the client's own finance team has seen and accepted. The third, inventory, is held up by a reconciliation problem that I describe under risks. Nothing now open threatens the plan, provided that problem is cleared in the next few weeks.</w:t>
      </w:r>
    </w:p>
    <w:p>
      <w:pPr>
        <w:pStyle w:val="Heading2"/>
      </w:pPr>
      <w:r>
        <w:t>What we finished this period</w:t>
      </w:r>
    </w:p>
    <w:p>
      <w:r>
        <w:t>The receivables analysis is complete. Collections run well past terms in two of your customer segments, and a small number of large accounts carry most of the overdue balance, so the first gains here are reachable without disturbing the wider customer base. The pattern holds across the last eight quarters, which tells us it is built into how the business runs rather than a passing month, and Brenda Rodriguez is already shaping it into a recommendation that separates the quick wins on the largest accounts from the longer structural fix to how collections are owned.</w:t>
      </w:r>
    </w:p>
    <w:p>
      <w:r>
        <w:t>The payables analysis is also done, and it points the other way. The business pays a large share of its suppliers faster than the agreed terms, which safeguards goodwill but leaves cash standing idle, and there is room to bring payment timing back in line without pressing any supplier the operation relies on. Any change here will come with a short list of the suppliers worth paying early on purpose, so that the recommendation is a deliberate policy and not a blanket stretch of every invoice. I have reconciled both the receivables and payables figures against the general ledger, and they tie out within a small margin.</w:t>
      </w:r>
    </w:p>
    <w:p>
      <w:pPr>
        <w:pStyle w:val="Heading2"/>
      </w:pPr>
      <w:r>
        <w:t>The engagement budget</w:t>
      </w:r>
    </w:p>
    <w:p>
      <w:r>
        <w:t>The engagement is billed at a fixed fee of $30,000. About half of that is earned as of this report, which matches the share of the work now done, and on the current plan the remainder is enough to carry the work still ahead without change. The one caveat is the inventory reconciliation noted below; if clearing it means examining the warehouse records line by line, that is more hours than the plan assumes, and we will bring the question to you before that work begins rather than after.</w:t>
      </w:r>
    </w:p>
    <w:p>
      <w:pPr>
        <w:pStyle w:val="Heading2"/>
      </w:pPr>
      <w:r>
        <w:t>The weeks ahead</w:t>
      </w:r>
    </w:p>
    <w:p>
      <w:r>
        <w:t>The next stretch is about turning the receivables and payables findings into a program you can act on, and about getting the inventory numbers onto ground we can trust. Brenda Rodriguez will complete the working capital model once the inventory data is sound, so that the three areas can be read together rather than one at a time, and Jason Torres and I will bring the first cut of the recommendations to a working session before they harden, so your managers can argue with them while they can still move. Each recommendation will separate the cash that can be freed in the near term from the part that depends on longer changes to how the work is organized, and will name what it asks of your team, so that when we hand it over it reads as a plan someone can own rather than a set of observations.</w:t>
      </w:r>
    </w:p>
    <w:p>
      <w:pPr>
        <w:pStyle w:val="Heading2"/>
      </w:pPr>
      <w:r>
        <w:t>What I am watching</w:t>
      </w:r>
    </w:p>
    <w:p>
      <w:r>
        <w:t>There is one risk and one dependency, and they are the same knot seen from two sides. The inventory extract does not reconcile to the general ledger, and the likeliest cause is how the warehouse system records stock in transit. Until that is resolved I will not build a working capital figure on the inventory numbers, because a total that rests on a bad count would not survive the first hard question. Clearing it depends on access to the person who owns the warehouse system, and that access is the single thing most likely to move the timeline if it is slow to come.</w:t>
      </w:r>
    </w:p>
    <w:p>
      <w:pPr>
        <w:pStyle w:val="Heading2"/>
      </w:pPr>
      <w:r>
        <w:t>What we need from you</w:t>
      </w:r>
    </w:p>
    <w:p>
      <w:r>
        <w:t>One step this period keeps the rest on plan: please name the owner of the warehouse system and clear our access to them, so that John Vasquez can close the inventory reconciliation. I will send the exact list of what we need, file by file, the day this report reaches you.</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Working Capital Program for Walker-Murray</dc:title>
  <dc:subject/>
  <dc:creator>John Vasquez</dc:creator>
  <cp:keywords/>
  <dc:description>generated by python-docx</dc:description>
  <cp:lastModifiedBy>John Vasquez</cp:lastModifiedBy>
  <cp:revision>1</cp:revision>
  <dcterms:created xsi:type="dcterms:W3CDTF">2013-11-20T09:00:00Z</dcterms:created>
  <dcterms:modified xsi:type="dcterms:W3CDTF">2013-11-20T09:00:00Z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