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The Walker-Murray engagement team</w:t>
        <w:br/>
        <w:t>From: Melissa Casey</w:t>
        <w:br/>
        <w:t>Re: Kickoff, Margin Recovery Program for Walker-Murray</w:t>
      </w:r>
    </w:p>
    <w:p>
      <w:r>
        <w:t>This memo records what we agreed at kickoff and how the first weeks of the program are meant to run, so that everyone works from the same plan. The engagement began on May 14, 2022 and is directed at a single objective, which is to find where Walker-Murray is losing margin between revenue and retained profit and to recover a meaningful part of it. Our primary contact on the client side is James Keller, Director of Operations, who will open doors for us and to whom our formal data requests should ultimately be addressed.</w:t>
      </w:r>
    </w:p>
    <w:p>
      <w:r>
        <w:t>The engagement covers the operating model, the cost base, and the commercial terms, and stops there. It does not cover the running of the company, which stays with the client, and it does not extend to legal, tax, or accounting advice; where our analysis brushes against those areas we note the point and hand it to the client's own advisers rather than answer it ourselves.</w:t>
      </w:r>
    </w:p>
    <w:p>
      <w:r>
        <w:t>Two points of method carry across every line of work. Every number we put in front of the client has to trace back to a source in the file, so that a conclusion can be followed rather than taken on trust. And any engagement we describe outside this team is a representative example of the firm's book and not its whole, so nothing we write should imply that Walker-Murray is the only work of its kind we do.</w:t>
      </w:r>
    </w:p>
    <w:p>
      <w:pPr>
        <w:pStyle w:val="Heading2"/>
      </w:pPr>
      <w:r>
        <w:t>The Lines of Work</w:t>
      </w:r>
    </w:p>
    <w:p>
      <w:pPr>
        <w:pStyle w:val="ListBullet"/>
      </w:pPr>
      <w:r>
        <w:t>Operating-model baseline: James Green will map how the business runs today and stand up the cost and margin model the rest of the work will draw on, annotating each input so that a figure can be traced to its source.</w:t>
      </w:r>
    </w:p>
    <w:p>
      <w:pPr>
        <w:pStyle w:val="ListBullet"/>
      </w:pPr>
      <w:r>
        <w:t>Cost and commercial analysis: the team will work the cost base and the commercial terms in parallel, testing where the margin gap is broad across the business and where it is concentrated in a few products or accounts.</w:t>
      </w:r>
    </w:p>
    <w:p>
      <w:pPr>
        <w:pStyle w:val="ListBullet"/>
      </w:pPr>
      <w:r>
        <w:t>Client interface and framing: Jason Torres will hold the relationship with the client and set how each finding is presented, so that what reaches the executive level is the decision at hand rather than the working behind it.</w:t>
      </w:r>
    </w:p>
    <w:p>
      <w:pPr>
        <w:pStyle w:val="ListBullet"/>
      </w:pPr>
      <w:r>
        <w:t>Exhibits and status reporting: I will assemble the status packs and keep the exhibits consistent from one report to the next, and treat any chart without a stated source as unfinished.</w:t>
      </w:r>
    </w:p>
    <w:p>
      <w:pPr>
        <w:pStyle w:val="Heading2"/>
      </w:pPr>
      <w:r>
        <w:t>The First Weeks</w:t>
      </w:r>
    </w:p>
    <w:p>
      <w:r>
        <w:t>For the coming week the priority is to get the data moving, so James Green will circulate the initial information request and Jason Torres will confirm a standing time for our working sessions with James Keller and his team. Because our first report to the client will land before the analysis is finished, I will set up the status-pack template now, so that we are not arguing about format when the substance is ready.</w:t>
      </w:r>
    </w:p>
    <w:p>
      <w:r>
        <w:t>On reporting, we will send the client a status pack on a regular cadence rather than only when there is news, because a client who hears from us on a schedule is a client who is not left guessing between reports. I will draft the first one for internal review before it goes out, so that we agree on the shape of it while the stakes are low.</w:t>
      </w:r>
    </w:p>
    <w:p>
      <w:r>
        <w:t>One request of everyone before we get deep into the work. If you already hold anything on Walker-Murray, from prior contact or public sources, send it to me this week so it goes into the file rather than sitting on a desk, and flag anything you think is stale so we do not build on it by mistake.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Margin Recovery Program for Walker-Murray</dc:title>
  <dc:subject/>
  <dc:creator>Melissa Casey</dc:creator>
  <cp:keywords/>
  <dc:description>generated by python-docx</dc:description>
  <cp:lastModifiedBy>Melissa Casey</cp:lastModifiedBy>
  <cp:revision>1</cp:revision>
  <dcterms:created xsi:type="dcterms:W3CDTF">2022-05-17T09:00:00Z</dcterms:created>
  <dcterms:modified xsi:type="dcterms:W3CDTF">2022-05-17T09:00:00Z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