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Margin Recovery Program for Walker-Murray</w:t>
      </w:r>
    </w:p>
    <w:p>
      <w:r>
        <w:t>Prepared by Melissa Casey for the leadership of Walker-Murray. This report covers the four weeks since the last one and marks roughly the midpoint of the engagement.</w:t>
      </w:r>
    </w:p>
    <w:p>
      <w:pPr>
        <w:pStyle w:val="Heading2"/>
      </w:pPr>
      <w:r>
        <w:t>Where the Engagement Stands</w:t>
      </w:r>
    </w:p>
    <w:p>
      <w:r>
        <w:t>The program is on plan and on budget at the halfway mark. The cost and margin baseline is essentially complete, the operating-model review is well advanced, and we have begun to shift the weight of the second half toward the commercial terms, where the early evidence suggests the larger part of the recoverable margin sits.</w:t>
      </w:r>
    </w:p>
    <w:p>
      <w:r>
        <w:t>Nothing in the work to date has changed the objective we set at the start, which is to recover a meaningful and durable part of the margin the business is losing between revenue and retained profit. What has changed is our sense of where that margin is, and that sharper view is what lets us aim the remaining analysis rather than spread it thin.</w:t>
      </w:r>
    </w:p>
    <w:p>
      <w:pPr>
        <w:pStyle w:val="Heading2"/>
      </w:pPr>
      <w:r>
        <w:t>Completed This Period</w:t>
      </w:r>
    </w:p>
    <w:p>
      <w:r>
        <w:t>James Green completed the plant-level cost model for the two largest sites and reconciled it against the finance team's figures. The analysis now shows, with more confidence than a month ago, that the margin gap is concentrated in a limited number of product lines rather than spread evenly across the business.</w:t>
      </w:r>
    </w:p>
    <w:p>
      <w:r>
        <w:t>That finding matters because it points to a smaller set of decisions with a larger effect. On the operating model, we mapped the handoffs between sales, planning, and the plants, and identified two points where work is duplicated and a third where a decision waits longer than the business can afford. Jason Torres reviewed each of these with the managers who own the process, so that what we bring to the executive level has already been tested against the people who run it day to day.</w:t>
      </w:r>
    </w:p>
    <w:p>
      <w:r>
        <w:t>We also held a working session with your operations team this period to walk the emerging picture rather than present it finished, which surfaced two adjustments to our reading of the plant data before they could harden into the analysis. That is the value of showing the work early, and we intend to keep doing it through the second half rather than save the findings for a single reveal at the end.</w:t>
      </w:r>
    </w:p>
    <w:p>
      <w:r>
        <w:t>Alongside the analysis, I brought the status pack and its exhibits onto a single consistent format, with every figure sourced to the workpaper behind it, so that from this report forward you can follow any number we show you back to the analysis that produced it.</w:t>
      </w:r>
    </w:p>
    <w:p>
      <w:pPr>
        <w:pStyle w:val="Heading2"/>
      </w:pPr>
      <w:r>
        <w:t>Budget</w:t>
      </w:r>
    </w:p>
    <w:p>
      <w:r>
        <w:t>The engagement is being delivered within the agreed fee of $52,000, and at the midpoint our time booked against the program is in line with that figure. We do not foresee a change to the fee; were the scope to shift in a way that would affect it, we would raise the question before doing the work, not after.</w:t>
      </w:r>
    </w:p>
    <w:p>
      <w:pPr>
        <w:pStyle w:val="Heading2"/>
      </w:pPr>
      <w:r>
        <w:t>The Next Period</w:t>
      </w:r>
    </w:p>
    <w:p>
      <w:r>
        <w:t>In the coming weeks the work turns to the commercial terms by account, which is the analysis most likely to move the result, and to translating the operating-model findings into changes the business can actually make. Jason Torres will present the emerging recommendations to your leadership in a working session rather than a finished deck, so that the direction can be tested and adjusted before it hardens.</w:t>
      </w:r>
    </w:p>
    <w:p>
      <w:r>
        <w:t>We will also begin, quietly, to think about the shape of the close, so that when the analysis is done the engagement ends in a handoff your own team can carry rather than in a report that sits on a shelf. That is some months off, and I raise it now only so that nothing about the ending comes as a surprise when it arrives.</w:t>
      </w:r>
    </w:p>
    <w:p>
      <w:r>
        <w:t>I will keep the status pack current between now and then, and will give you a short written read on progress at the two-thirds mark so that nothing in the final recommendations arrives as a surprise.</w:t>
      </w:r>
    </w:p>
    <w:p>
      <w:pPr>
        <w:pStyle w:val="Heading2"/>
      </w:pPr>
      <w:r>
        <w:t>Risks and Watch Items</w:t>
      </w:r>
    </w:p>
    <w:p>
      <w:r>
        <w:t>Two items bear watching. The first is the account-level commercial data, part of which is still outstanding on the client side; without it, the commercial analysis cannot reach the confidence the operating-model work has, and I have flagged the specific gaps to your finance team.</w:t>
      </w:r>
    </w:p>
    <w:p>
      <w:r>
        <w:t>The second is sequencing. Because the second half of the work leans on data we do not yet fully hold for Walker-Murray, a delay in that data would push the schedule; if it slips, we will resequence the analysis with you and protect the parts of the timeline that matter most, rather than let a single gap stall the whole.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Margin Recovery Program for Walker-Murray</dc:title>
  <dc:subject/>
  <dc:creator>Melissa Casey</dc:creator>
  <cp:keywords/>
  <dc:description>generated by python-docx</dc:description>
  <cp:lastModifiedBy>Melissa Casey</cp:lastModifiedBy>
  <cp:revision>1</cp:revision>
  <dcterms:created xsi:type="dcterms:W3CDTF">2022-08-30T09:00:00Z</dcterms:created>
  <dcterms:modified xsi:type="dcterms:W3CDTF">2022-08-30T09:00:00Z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