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Working Session on the Walker-Murray Working Capital Program</w:t>
      </w:r>
    </w:p>
    <w:p>
      <w:r>
        <w:t>The session settled two things. The receivables findings are firm enough to start shaping into recommendations, and the inventory data is not yet good enough to trust and needs a second pull. The rest of this record covers how we got to both.</w:t>
      </w:r>
    </w:p>
    <w:p>
      <w:pPr>
        <w:pStyle w:val="Heading2"/>
      </w:pPr>
      <w:r>
        <w:t>Present</w:t>
      </w:r>
    </w:p>
    <w:p>
      <w:pPr>
        <w:pStyle w:val="ListBullet"/>
      </w:pPr>
      <w:r>
        <w:t>Brenda Rodriguez, Senior Consultant, Calderwood Partners</w:t>
      </w:r>
    </w:p>
    <w:p>
      <w:pPr>
        <w:pStyle w:val="ListBullet"/>
      </w:pPr>
      <w:r>
        <w:t>John Vasquez, Research Associate, Calderwood Partners</w:t>
      </w:r>
    </w:p>
    <w:p>
      <w:pPr>
        <w:pStyle w:val="ListBullet"/>
      </w:pPr>
      <w:r>
        <w:t>Jason Torres, Principal, Calderwood Partners</w:t>
      </w:r>
    </w:p>
    <w:p>
      <w:pPr>
        <w:pStyle w:val="ListBullet"/>
      </w:pPr>
      <w:r>
        <w:t>James Keller, Director of Operations, Walker-Murray</w:t>
      </w:r>
    </w:p>
    <w:p>
      <w:pPr>
        <w:pStyle w:val="Heading2"/>
      </w:pPr>
      <w:r>
        <w:t>What we discussed</w:t>
      </w:r>
    </w:p>
    <w:p>
      <w:r>
        <w:t>John Vasquez walked the group through the receivables work. Collections run well past terms in two of the client's customer segments, and a handful of large accounts carry most of the overdue balance. The pattern is consistent across the last eight quarters, so it reflects how the business runs rather than a bad month, and it is the clearest place to free cash without touching the operation. James Keller confirmed that collections sit with the accounts team and not with the sales managers who own the customer relationships, which is part of why the follow-up is slow, and the group agreed that split is worth naming in the recommendation.</w:t>
      </w:r>
    </w:p>
    <w:p>
      <w:r>
        <w:t>On payables, the picture is the opposite. The client pays most suppliers faster than the terms require, which protects goodwill but leaves cash on the table, and there is room to move without straining any supplier the business depends on. Brenda Rodriguez noted that any change here should carry a short list of the suppliers worth paying early on purpose, so the recommendation reads as a deliberate policy rather than a blanket stretch of every invoice.</w:t>
      </w:r>
    </w:p>
    <w:p>
      <w:r>
        <w:t>Inventory is the problem child. The extract John Vasquez pulled does not tie out against the general ledger, and James Keller thinks the gap is in how the warehouse system books in-transit stock. Until that is resolved the group agreed not to draw any conclusion from the inventory numbers, since a working capital figure built on a bad count would not survive the first hard question. Jason Torres asked whether the reconciliation could slip the timeline; the group's read is that it will not, so long as the second pull happens in the next two weeks and the client opens access to the warehouse system owner. We also agreed to keep the three areas reported separately for now and to combine them into a single working capital figure only once the inventory count is sound.</w:t>
      </w:r>
    </w:p>
    <w:p>
      <w:pPr>
        <w:pStyle w:val="Heading2"/>
      </w:pPr>
      <w:r>
        <w:t>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Re-pull the inventory extract and reconcile it to the ledger, with in-transit stock booked correctly</w:t>
            </w:r>
          </w:p>
        </w:tc>
        <w:tc>
          <w:tcPr>
            <w:tcW w:type="dxa" w:w="2880"/>
          </w:tcPr>
          <w:p>
            <w:r>
              <w:t>John Vasquez</w:t>
            </w:r>
          </w:p>
        </w:tc>
        <w:tc>
          <w:tcPr>
            <w:tcW w:type="dxa" w:w="2880"/>
          </w:tcPr>
          <w:p>
            <w:r>
              <w:t>Two weeks</w:t>
            </w:r>
          </w:p>
        </w:tc>
      </w:tr>
      <w:tr>
        <w:tc>
          <w:tcPr>
            <w:tcW w:type="dxa" w:w="2880"/>
          </w:tcPr>
          <w:p>
            <w:r>
              <w:t>Draft the receivables recommendation, splitting quick wins on the large overdue accounts from the structural collections fix</w:t>
            </w:r>
          </w:p>
        </w:tc>
        <w:tc>
          <w:tcPr>
            <w:tcW w:type="dxa" w:w="2880"/>
          </w:tcPr>
          <w:p>
            <w:r>
              <w:t>Brenda Rodriguez</w:t>
            </w:r>
          </w:p>
        </w:tc>
        <w:tc>
          <w:tcPr>
            <w:tcW w:type="dxa" w:w="2880"/>
          </w:tcPr>
          <w:p>
            <w:r>
              <w:t>Next session</w:t>
            </w:r>
          </w:p>
        </w:tc>
      </w:tr>
      <w:tr>
        <w:tc>
          <w:tcPr>
            <w:tcW w:type="dxa" w:w="2880"/>
          </w:tcPr>
          <w:p>
            <w:r>
              <w:t>Confirm the warehouse system owner who can explain the in-transit booking, and open access to John Vasquez</w:t>
            </w:r>
          </w:p>
        </w:tc>
        <w:tc>
          <w:tcPr>
            <w:tcW w:type="dxa" w:w="2880"/>
          </w:tcPr>
          <w:p>
            <w:r>
              <w:t>James Keller</w:t>
            </w:r>
          </w:p>
        </w:tc>
        <w:tc>
          <w:tcPr>
            <w:tcW w:type="dxa" w:w="2880"/>
          </w:tcPr>
          <w:p>
            <w:r>
              <w:t>One week</w:t>
            </w:r>
          </w:p>
        </w:tc>
      </w:tr>
      <w:tr>
        <w:tc>
          <w:tcPr>
            <w:tcW w:type="dxa" w:w="2880"/>
          </w:tcPr>
          <w:p>
            <w:r>
              <w:t>Set the review of the receivables findings with the client's finance leadership</w:t>
            </w:r>
          </w:p>
        </w:tc>
        <w:tc>
          <w:tcPr>
            <w:tcW w:type="dxa" w:w="2880"/>
          </w:tcPr>
          <w:p>
            <w:r>
              <w:t>Jason Torres</w:t>
            </w:r>
          </w:p>
        </w:tc>
        <w:tc>
          <w:tcPr>
            <w:tcW w:type="dxa" w:w="2880"/>
          </w:tcPr>
          <w:p>
            <w:r>
              <w:t>Next session</w:t>
            </w:r>
          </w:p>
        </w:tc>
      </w:tr>
    </w:tbl>
    <w:p>
      <w:r>
        <w:t>The next working session is set for late November, and John Vasquez will circulate the reconciled inventory data to the group before it so we are not reading numbers for the first time in the room.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Working Capital Program for Walker-Murray</dc:title>
  <dc:subject/>
  <dc:creator>Brenda Rodriguez</dc:creator>
  <cp:keywords/>
  <dc:description>generated by python-docx</dc:description>
  <cp:lastModifiedBy>Brenda Rodriguez</cp:lastModifiedBy>
  <cp:revision>1</cp:revision>
  <dcterms:created xsi:type="dcterms:W3CDTF">2013-10-30T09:00:00Z</dcterms:created>
  <dcterms:modified xsi:type="dcterms:W3CDTF">2013-10-30T09:00:00Z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