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pPr>
        <w:pStyle w:val="Heading1"/>
      </w:pPr>
      <w:r>
        <w:t>Working Session Minutes: Walker-Murray Working Capital Program</w:t>
      </w:r>
    </w:p>
    <w:p>
      <w:r>
        <w:t>The session closed out the recommendations. The receivables and payables changes are agreed and ready to hand to the client's team, the inventory program is scoped, and what remains is deciding who inside the business owns each change once we step away. This record covers each in turn.</w:t>
      </w:r>
    </w:p>
    <w:p>
      <w:pPr>
        <w:pStyle w:val="Heading2"/>
      </w:pPr>
      <w:r>
        <w:t>In attendance</w:t>
      </w:r>
    </w:p>
    <w:p>
      <w:pPr>
        <w:pStyle w:val="ListBullet"/>
      </w:pPr>
      <w:r>
        <w:t>Brenda Rodriguez, Senior Consultant, Calderwood Partners</w:t>
      </w:r>
    </w:p>
    <w:p>
      <w:pPr>
        <w:pStyle w:val="ListBullet"/>
      </w:pPr>
      <w:r>
        <w:t>John Vasquez, Research Associate, Calderwood Partners</w:t>
      </w:r>
    </w:p>
    <w:p>
      <w:pPr>
        <w:pStyle w:val="ListBullet"/>
      </w:pPr>
      <w:r>
        <w:t>Jason Torres, Principal, Calderwood Partners</w:t>
      </w:r>
    </w:p>
    <w:p>
      <w:pPr>
        <w:pStyle w:val="ListBullet"/>
      </w:pPr>
      <w:r>
        <w:t>James Keller, Director of Operations, Walker-Murray</w:t>
      </w:r>
    </w:p>
    <w:p>
      <w:pPr>
        <w:pStyle w:val="Heading2"/>
      </w:pPr>
      <w:r>
        <w:t>Discussion</w:t>
      </w:r>
    </w:p>
    <w:p>
      <w:r>
        <w:t>The group reviewed the near-final recommendations. On receivables, the split we identified earlier now has a fix behind it: the large overdue accounts move to a short, named follow-up cycle, and collections and the sales managers share a single view of each account so the follow-up stops falling between them. James Keller expects the first of these to release cash within the quarter, and noted that the shared view can run on the reports the finance team already produces, so it asks no new system of anyone. On payables, the recommendation brings payment timing back to terms on the suppliers where it is safe to do so, with a short exceptions list the finance team keeps for the relationships that warrant paying early. The group walked that exceptions list line by line and agreed it is short enough to manage by hand, so the change does not wait on any new tool to begin.</w:t>
      </w:r>
    </w:p>
    <w:p>
      <w:r>
        <w:t>Inventory took the most time. With the reconciliation now clean, John Vasquez presented the finished picture, and the excess sits mainly in slow-moving stock that the warehouse has carried out of habit rather than need. The group agreed to treat this as a program the client runs after we close rather than a change we complete for them, since it depends on purchasing decisions that belong inside the business. John Vasquez will hand over the working file so the client's team can keep the count current once we step away.</w:t>
      </w:r>
    </w:p>
    <w:p>
      <w:r>
        <w:t>The group also settled how the changes will be measured. Brenda Rodriguez proposed tracking cash freed against the three areas separately for the first two quarters, so a slip in one does not hide behind a gain in another, and James Keller agreed the finance team can report it that way from existing figures. Jason Torres pressed the point that every recommendation should name an owner on the client side before we finish, because a change with no owner does not survive our leaving, and the group agreed to carry that into the closing review.</w:t>
      </w:r>
    </w:p>
    <w:p>
      <w:pPr>
        <w:pStyle w:val="Heading2"/>
      </w:pPr>
      <w:r>
        <w:t>Follow-ups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Finalize the recommendation pack, with each change tied to a named client owner</w:t>
            </w:r>
          </w:p>
        </w:tc>
        <w:tc>
          <w:tcPr>
            <w:tcW w:type="dxa" w:w="2880"/>
          </w:tcPr>
          <w:p>
            <w:r>
              <w:t>Brenda Rodriguez</w:t>
            </w:r>
          </w:p>
        </w:tc>
        <w:tc>
          <w:tcPr>
            <w:tcW w:type="dxa" w:w="2880"/>
          </w:tcPr>
          <w:p>
            <w:r>
              <w:t>Before the closing review</w:t>
            </w:r>
          </w:p>
        </w:tc>
      </w:tr>
      <w:tr>
        <w:tc>
          <w:tcPr>
            <w:tcW w:type="dxa" w:w="2880"/>
          </w:tcPr>
          <w:p>
            <w:r>
              <w:t>Complete the data appendix so every figure in the pack traces to its source</w:t>
            </w:r>
          </w:p>
        </w:tc>
        <w:tc>
          <w:tcPr>
            <w:tcW w:type="dxa" w:w="2880"/>
          </w:tcPr>
          <w:p>
            <w:r>
              <w:t>John Vasquez</w:t>
            </w:r>
          </w:p>
        </w:tc>
        <w:tc>
          <w:tcPr>
            <w:tcW w:type="dxa" w:w="2880"/>
          </w:tcPr>
          <w:p>
            <w:r>
              <w:t>Before the closing review</w:t>
            </w:r>
          </w:p>
        </w:tc>
      </w:tr>
      <w:tr>
        <w:tc>
          <w:tcPr>
            <w:tcW w:type="dxa" w:w="2880"/>
          </w:tcPr>
          <w:p>
            <w:r>
              <w:t>Nominate the internal owners for the receivables follow-up cycle and the inventory program</w:t>
            </w:r>
          </w:p>
        </w:tc>
        <w:tc>
          <w:tcPr>
            <w:tcW w:type="dxa" w:w="2880"/>
          </w:tcPr>
          <w:p>
            <w:r>
              <w:t>James Keller</w:t>
            </w:r>
          </w:p>
        </w:tc>
        <w:tc>
          <w:tcPr>
            <w:tcW w:type="dxa" w:w="2880"/>
          </w:tcPr>
          <w:p>
            <w:r>
              <w:t>This week</w:t>
            </w:r>
          </w:p>
        </w:tc>
      </w:tr>
      <w:tr>
        <w:tc>
          <w:tcPr>
            <w:tcW w:type="dxa" w:w="2880"/>
          </w:tcPr>
          <w:p>
            <w:r>
              <w:t>Set the closing review with the client's leadership and confirm the agenda</w:t>
            </w:r>
          </w:p>
        </w:tc>
        <w:tc>
          <w:tcPr>
            <w:tcW w:type="dxa" w:w="2880"/>
          </w:tcPr>
          <w:p>
            <w:r>
              <w:t>Jason Torres</w:t>
            </w:r>
          </w:p>
        </w:tc>
        <w:tc>
          <w:tcPr>
            <w:tcW w:type="dxa" w:w="2880"/>
          </w:tcPr>
          <w:p>
            <w:r>
              <w:t>Next week</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Working Capital Program for Walker-Murray (draft)</dc:title>
  <dc:subject/>
  <dc:creator>Brenda Rodriguez</dc:creator>
  <cp:keywords/>
  <dc:description>generated by python-docx</dc:description>
  <cp:lastModifiedBy>Brenda Rodriguez</cp:lastModifiedBy>
  <cp:revision>1</cp:revision>
  <dcterms:created xsi:type="dcterms:W3CDTF">2014-01-28T09:00:00Z</dcterms:created>
  <dcterms:modified xsi:type="dcterms:W3CDTF">2014-01-28T09:00:00Z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