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Margin Recovery Program for Walker-Murray</w:t>
      </w:r>
    </w:p>
    <w:p>
      <w:r>
        <w:t>These minutes record the working session held with Walker-Murray this week, roughly at the midpoint of the program, and are circulated so that the decisions taken there are settled on the record rather than left to memory. Where a matter was discussed but not resolved, I have said so, and carried it forward as an action rather than dressed it up as a conclusion.</w:t>
      </w:r>
    </w:p>
    <w:p>
      <w:pPr>
        <w:pStyle w:val="Heading2"/>
      </w:pPr>
      <w:r>
        <w:t>Present</w:t>
      </w:r>
    </w:p>
    <w:p>
      <w:pPr>
        <w:pStyle w:val="ListBullet"/>
      </w:pPr>
      <w:r>
        <w:t>Jason Torres, Principal, Calderwood Partners (chair)</w:t>
      </w:r>
    </w:p>
    <w:p>
      <w:pPr>
        <w:pStyle w:val="ListBullet"/>
      </w:pPr>
      <w:r>
        <w:t>Melissa Casey, Research Associate, Calderwood Partners</w:t>
      </w:r>
    </w:p>
    <w:p>
      <w:pPr>
        <w:pStyle w:val="ListBullet"/>
      </w:pPr>
      <w:r>
        <w:t>James Green, Senior Associate, Calderwood Partners</w:t>
      </w:r>
    </w:p>
    <w:p>
      <w:pPr>
        <w:pStyle w:val="ListBullet"/>
      </w:pPr>
      <w:r>
        <w:t>Steven Sanchez, Research Associate, Calderwood Partners</w:t>
      </w:r>
    </w:p>
    <w:p>
      <w:pPr>
        <w:pStyle w:val="ListBullet"/>
      </w:pPr>
      <w:r>
        <w:t>James Keller, Director of Operations, Walker-Murray</w:t>
      </w:r>
    </w:p>
    <w:p>
      <w:pPr>
        <w:pStyle w:val="Heading2"/>
      </w:pPr>
      <w:r>
        <w:t>Matters Discussed</w:t>
      </w:r>
    </w:p>
    <w:p>
      <w:r>
        <w:t>The principal item was the state of the cost and margin baseline, which James Green presented at the level of the business as a whole and, for the two largest sites, at the level of the individual plant. The analysis is far enough along to show that the margin gap is not uniform, and that a disproportionate share of it sits in a small number of product lines, though I was careful to note to the client that the plant-level detail is still incomplete and that the concentration we are seeing may soften as the remaining data arrives.</w:t>
      </w:r>
    </w:p>
    <w:p>
      <w:r>
        <w:t>Steven Sanchez then walked the group through the data still outstanding, most of it on the commercial terms by account, and James Keller undertook to have his finance team close the largest of those gaps before we meet again. We discussed, without settling it, whether the second half of the work should weight the commercial terms more heavily than the operating model now that the early evidence points that way, and I was reluctant to fix that choice before the outstanding data is in hand, since the case for it rests in part on the very numbers we do not yet fully hold.</w:t>
      </w:r>
    </w:p>
    <w:p>
      <w:r>
        <w:t>On the operating model, the group reviewed the map of handoffs between sales, planning, and the plants that the team has built to date. Two places where the same work is done twice were identified, along with a third where a pricing decision waits on an approval that adds days without adding judgment; the client recognized all three and did not dispute them, which I took as a sign that the operating-model findings will meet less resistance than the commercial ones and can be moved on sooner.</w:t>
      </w:r>
    </w:p>
    <w:p>
      <w:r>
        <w:t>To let the client make that choice on something better than an impression, I asked Melissa Casey to prepare the next status pack in a form that lays the two options side by side, with the evidence for each stated plainly and the gaps in that evidence marked rather than smoothed. The client was content with that approach and asked only that the trade-off between speed and certainty be made explicit in whatever we bring forward, so that the choice is theirs to make with the risks in view rather than ours to make on their behalf.</w:t>
      </w:r>
    </w:p>
    <w:p>
      <w:pPr>
        <w:pStyle w:val="Heading2"/>
      </w:pPr>
      <w:r>
        <w:t>Actions</w:t>
      </w:r>
    </w:p>
    <w:p>
      <w:pPr>
        <w:pStyle w:val="ListBullet"/>
      </w:pPr>
      <w:r>
        <w:t>James Green to complete the plant-level cost model for the remaining sites and to flag any input that materially shifts the concentration we saw today.</w:t>
      </w:r>
    </w:p>
    <w:p>
      <w:pPr>
        <w:pStyle w:val="ListBullet"/>
      </w:pPr>
      <w:r>
        <w:t>Steven Sanchez to consolidate the outstanding commercial-terms data and to reconcile it against the account list before the next session.</w:t>
      </w:r>
    </w:p>
    <w:p>
      <w:pPr>
        <w:pStyle w:val="ListBullet"/>
      </w:pPr>
      <w:r>
        <w:t>Melissa Casey to draft the next status pack in two versions, one weighting the operating model and one the commercial terms, for internal review before it goes to the client.</w:t>
      </w:r>
    </w:p>
    <w:p>
      <w:pPr>
        <w:pStyle w:val="ListBullet"/>
      </w:pPr>
      <w:r>
        <w:t>James Keller to have the client's finance team deliver the account-level terms for the two largest businesses.</w:t>
      </w:r>
    </w:p>
    <w:p>
      <w:pPr>
        <w:pStyle w:val="ListBullet"/>
      </w:pPr>
      <w:r>
        <w:t>Jason Torres to confirm the agenda and timing of the next working session with James Keller.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Margin Recovery Program for Walker-Murray</dc:title>
  <dc:subject/>
  <dc:creator>Jason Torres</dc:creator>
  <cp:keywords/>
  <dc:description>generated by python-docx</dc:description>
  <cp:lastModifiedBy>Jason Torres</cp:lastModifiedBy>
  <cp:revision>1</cp:revision>
  <dcterms:created xsi:type="dcterms:W3CDTF">2022-08-08T09:00:00Z</dcterms:created>
  <dcterms:modified xsi:type="dcterms:W3CDTF">2022-08-08T09:00:00Z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