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Minutes: Margin Recovery Program for Walker-Murray</w:t>
      </w:r>
    </w:p>
    <w:p>
      <w:r>
        <w:t>With the program now in its final stretch, this session was given over less to new analysis than to settling the recommendations we will put to Walker-Murray and to planning an orderly close. I have recorded below what was decided and what remains open, and have been careful, as before, not to set down as agreed anything that was only discussed.</w:t>
      </w:r>
    </w:p>
    <w:p>
      <w:pPr>
        <w:pStyle w:val="Heading2"/>
      </w:pPr>
      <w:r>
        <w:t>In Attendance</w:t>
      </w:r>
    </w:p>
    <w:p>
      <w:pPr>
        <w:pStyle w:val="ListBullet"/>
      </w:pPr>
      <w:r>
        <w:t>Jason Torres, Principal, Calderwood Partners (chair)</w:t>
      </w:r>
    </w:p>
    <w:p>
      <w:pPr>
        <w:pStyle w:val="ListBullet"/>
      </w:pPr>
      <w:r>
        <w:t>Melissa Casey, Research Associate, Calderwood Partners</w:t>
      </w:r>
    </w:p>
    <w:p>
      <w:pPr>
        <w:pStyle w:val="ListBullet"/>
      </w:pPr>
      <w:r>
        <w:t>James Green, Senior Associate, Calderwood Partners</w:t>
      </w:r>
    </w:p>
    <w:p>
      <w:pPr>
        <w:pStyle w:val="ListBullet"/>
      </w:pPr>
      <w:r>
        <w:t>James Keller, Director of Operations, Walker-Murray</w:t>
      </w:r>
    </w:p>
    <w:p>
      <w:pPr>
        <w:pStyle w:val="Heading2"/>
      </w:pPr>
      <w:r>
        <w:t>Recommendations Reviewed</w:t>
      </w:r>
    </w:p>
    <w:p>
      <w:r>
        <w:t>James Green took the group through the near-final analysis, which now holds that the larger share of the recoverable margin lies in the commercial terms on a limited set of accounts, with a smaller but faster contribution available from two fixes in the operating model. The client accepted the direction and pressed us, reasonably, on how firmly the account-level numbers hold, and I acknowledged that a small part of the estimate still rests on data that arrived late and has had less scrutiny than the rest; we agreed that the final report will mark that portion as provisional rather than smooth it over.</w:t>
      </w:r>
    </w:p>
    <w:p>
      <w:r>
        <w:t>We then discussed the order in which the client should act on the recommendations once we have gone, and James Keller asked that the final deliverable set out a first ninety days his own team can run without us. I said we would do exactly that, and that Melissa Casey would build the closeout pack around that sequence, so that the handoff is to a plan and not merely to a set of findings.</w:t>
      </w:r>
    </w:p>
    <w:p>
      <w:r>
        <w:t>There was some discussion of the two operating-model fixes that are far enough along to begin now rather than wait for the final report, and the client asked whether it could put the less contentious of them in motion before the engagement formally closes. I said it could, provided the change is recorded so the eventual measurement is not muddied, and James Green agreed to write a short note setting out what to do and how to tell afterward whether it worked.</w:t>
      </w:r>
    </w:p>
    <w:p>
      <w:r>
        <w:t>The last matter was how the client will know, after we are gone, whether the program worked, and we agreed that the report will name a short set of measures the client already tracks, so that the recovery can be read off the ordinary management accounts rather than through a scorecard built only for this engagement and quietly abandoned once it ends. The client was noticeably more comfortable with a measure it already lives with than with one we would have invented for the occasion.</w:t>
      </w:r>
    </w:p>
    <w:p>
      <w:pPr>
        <w:pStyle w:val="Heading2"/>
      </w:pPr>
      <w:r>
        <w:t>Closing Actions</w:t>
      </w:r>
    </w:p>
    <w:p>
      <w:pPr>
        <w:pStyle w:val="ListBullet"/>
      </w:pPr>
      <w:r>
        <w:t>James Green to finalize the account-level margin analysis and to mark clearly any figure still resting on late data.</w:t>
      </w:r>
    </w:p>
    <w:p>
      <w:pPr>
        <w:pStyle w:val="ListBullet"/>
      </w:pPr>
      <w:r>
        <w:t>Melissa Casey to assemble the closeout pack, including a ninety-day action sequence the client can execute on its own.</w:t>
      </w:r>
    </w:p>
    <w:p>
      <w:pPr>
        <w:pStyle w:val="ListBullet"/>
      </w:pPr>
      <w:r>
        <w:t>James Keller to confirm which of his managers will own each recommendation after the engagement ends.</w:t>
      </w:r>
    </w:p>
    <w:p>
      <w:pPr>
        <w:pStyle w:val="ListBullet"/>
      </w:pPr>
      <w:r>
        <w:t>Jason Torres to schedule the final read-out with the client's leadership and to circulate the draft report ahead of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Margin Recovery Program for Walker-Murray</dc:title>
  <dc:subject/>
  <dc:creator>Jason Torres</dc:creator>
  <cp:keywords/>
  <dc:description>generated by python-docx</dc:description>
  <cp:lastModifiedBy>Jason Torres</cp:lastModifiedBy>
  <cp:revision>1</cp:revision>
  <dcterms:created xsi:type="dcterms:W3CDTF">2022-11-07T09:00:00Z</dcterms:created>
  <dcterms:modified xsi:type="dcterms:W3CDTF">2022-11-07T09:00:00Z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