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Calderwood Partners</w:t>
      </w:r>
    </w:p>
    <w:p>
      <w:r>
        <w:t>Calderwood Partners is a general management consulting firm. We were founded in 2007 to do one plain and difficult thing well, which is to help mid-market industrial and services companies decide how they ought to operate, what their work ought to cost, and where their next increment of growth ought honestly to come from. This overview is meant to say what we do and to show it through a piece of our work, and it is written with the care we would ask of any document that carries the firm's name, which is that it claim only what is true and no more than that.</w:t>
      </w:r>
    </w:p>
    <w:p>
      <w:pPr>
        <w:pStyle w:val="Heading2"/>
      </w:pPr>
      <w:r>
        <w:t>What we do</w:t>
      </w:r>
    </w:p>
    <w:p>
      <w:r>
        <w:t>Our clients are companies large enough that the questions of operating model, cost, and growth carry real consequence, and small enough that a single well-made decision can change the trajectory of the business. We advise them on how their organization is put together and whether its shape still fits the strategy it was built for, on where cost has settled that no longer buys the company anything, and on how to pursue growth that the organization can actually absorb rather than merely announce. We work from a client's own evidence instead of from a template, because the value we add lies in getting a particular question right, not in supplying a general answer that would fit any company and for that reason fits none of them well.</w:t>
      </w:r>
    </w:p>
    <w:p>
      <w:pPr>
        <w:pStyle w:val="Heading2"/>
      </w:pPr>
      <w:r>
        <w:t>How an engagement runs</w:t>
      </w:r>
    </w:p>
    <w:p>
      <w:r>
        <w:t>Most of our engagements draw on more than one of the firm's lines of work, and we resist pulling them apart too neatly. An operating-model review asks how decisions are made and where accountability actually sits; a cost study works from the ledger rather than the budget, on the understanding that the budget records what a company meant to spend while the ledger records what it did; and a growth engagement tests where demand genuinely exists before it recommends spending anything to chase it. Whichever line a client comes to us on, the engagement is staffed as a team, the analysis is documented so that the client's own people can rerun it after we have gone, and the recommendation is meant to be taken apart in a working session before anyone is asked to adopt it.</w:t>
      </w:r>
    </w:p>
    <w:p>
      <w:pPr>
        <w:pStyle w:val="Heading2"/>
      </w:pPr>
      <w:r>
        <w:t>A representative engagement</w:t>
      </w:r>
    </w:p>
    <w:p>
      <w:r>
        <w:t>One piece of our work gives a fair sense of the rest. Our engagement this year with Hughes Group followed the pattern we favor, which was a client willing to hand us the question that mattered most to them, a body of evidence we reconciled patiently before we drew a single conclusion from it, and a recommendation shaped to what the organization could realistically carry out. We offer it here as one illustration of how we work and not as a catalog of the firm's clients, and we are careful, as a matter of professional habit, never to describe one client's engagement to another.</w:t>
      </w:r>
    </w:p>
    <w:p>
      <w:pPr>
        <w:pStyle w:val="Heading2"/>
      </w:pPr>
      <w:r>
        <w:t>How we are set up to work</w:t>
      </w:r>
    </w:p>
    <w:p>
      <w:r>
        <w:t>Behind the advisory work sits the ordinary machinery that lets a client engage us without friction, and Jeffrey Jackson, our Director of Operations, runs it. He looks after the terms that sit behind an engagement letter, the billing arrangements, and the administration that most clients are glad never to have to think about, on the principle that the commercial side of a relationship should be settled quietly and early so that nothing about it ever competes for a client's attention with the work itself. It is a small part of a firm overview and a large part of the reason the engagement described above ran as smoothly as it did.</w:t>
      </w:r>
    </w:p>
    <w:p>
      <w:pPr>
        <w:pStyle w:val="Heading2"/>
      </w:pPr>
      <w:r>
        <w:t>If you are weighing a decision</w:t>
      </w:r>
    </w:p>
    <w:p>
      <w:r>
        <w:t>If your company is facing a question of operating model, cost, or growth that it has not been able to settle from the inside, the right next step is a conversation rather than a proposal, and you should feel free to begin it directly with me. I am Julie Ramsey, the firm's Managing Principal, and I will listen before I offer a view of any kind; there is no cost to the conversation and nothing follows from it that you do not choose.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Ramsey</dc:creator>
  <cp:keywords/>
  <dc:description>generated by python-docx</dc:description>
  <cp:lastModifiedBy>Julie Ramsey</cp:lastModifiedBy>
  <cp:revision>1</cp:revision>
  <dcterms:created xsi:type="dcterms:W3CDTF">2008-06-17T09:00:00Z</dcterms:created>
  <dcterms:modified xsi:type="dcterms:W3CDTF">2008-06-17T09:00:00Z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