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Calderwood Partners</w:t>
      </w:r>
    </w:p>
    <w:p>
      <w:r>
        <w:t>Calderwood Partners is a general management consulting firm. Founded in 2007, we advise mid-market industrial and services companies on the questions that decide whether a business is earning its keep: how the operating model is arranged, where cost has settled that no longer buys anything, and where growth can still be found without mortgaging the next several years to pay for it. We are a general firm by design. We take up the problem a client actually has in front of it, and we prefer to understand one company's situation in full before reaching for a method to lay over it, which is why our engagements tend to be described by the decision they served and not by the framework that happened to be used.</w:t>
      </w:r>
    </w:p>
    <w:p>
      <w:pPr>
        <w:pStyle w:val="Heading2"/>
      </w:pPr>
      <w:r>
        <w:t>What we do</w:t>
      </w:r>
    </w:p>
    <w:p>
      <w:r>
        <w:t>Our work falls into three related areas. The first is the operating model: how a company is organized, where its decisions are made and by whom, and whether the structure it runs on still fits the size and shape it has grown into. The second is cost, where we help management see plainly what it is spending and to what end, and separate the cost that buys performance from the cost that has merely accumulated over good years and never been questioned. The third is growth, which for our clients usually means the disciplined kind: a sharper commercial focus, better pricing, a considered move into an adjacent market or channel. Most engagements touch more than one of these, because in a real company the three do not sit still while you attend to only one of them.</w:t>
      </w:r>
    </w:p>
    <w:p>
      <w:pPr>
        <w:pStyle w:val="Heading2"/>
      </w:pPr>
      <w:r>
        <w:t>How we work</w:t>
      </w:r>
    </w:p>
    <w:p>
      <w:r>
        <w:t>We staff engagements with small, senior-led teams, and we describe scope with some care, because a scope that promises more than the evidence will support is a liability to the client first and to us soon after. The teams are deliberately small, so that the people a client meets in the first week are the people who do the work in the tenth, and senior enough that judgment is present in the room and not held in reserve at a distance. Our habit is to say what we can establish, to mark plainly where a judgment rests on thinner ground, and to bring an inconvenient finding forward while it can still change a decision. An engagement begins with a letter that sets its scope, its fees, and its terms; it proceeds through working sessions with the client's team, regular status reporting to the executive who sponsors the work, and deliverables sized to the decision at hand and not to the calendar.</w:t>
      </w:r>
    </w:p>
    <w:p>
      <w:pPr>
        <w:pStyle w:val="Heading2"/>
      </w:pPr>
      <w:r>
        <w:t>Representative engagements</w:t>
      </w:r>
    </w:p>
    <w:p>
      <w:r>
        <w:t>The engagements named below are a representative sample of our work between 2008 and 2011, offered to show the range of situations the firm is brought into and not as an account of its clients. We have advised, among others, Hughes Group and Brown and Sons; Key Group, Carroll, Merritt and Williams, and Garza, Leblanc and Porter; Poole, Mcknight and Rush; and, more recently, Scott, Smith and Edwards and Stark-Wilson. Across this sample the work ranged over all three of the areas described above, an operating-model question in some, a cost program in others, and a growth or commercial problem in the rest, which is the ordinary pattern of a general practice and not the signature of a single method being sold under different names.</w:t>
      </w:r>
    </w:p>
    <w:p>
      <w:r>
        <w:t>These examples are illustrative, and deliberately so. They are a portion of what the firm has done in this period, chosen for range, and they are not meant to describe the whole of its work or to fix the boundaries of the industries and company sizes it serves. Each was scoped to a particular decision that a client's leadership faced, and each was staffed and run on its own terms, which is the reason we are cautious about presenting past work as a template into which a new situation can simply be poured; the resemblance between two companies is usually shallower than it first appears, and the value we add tends to begin where that resemblance ends.</w:t>
      </w:r>
    </w:p>
    <w:p>
      <w:pPr>
        <w:pStyle w:val="Heading2"/>
      </w:pPr>
      <w:r>
        <w:t>Working with us</w:t>
      </w:r>
    </w:p>
    <w:p>
      <w:r>
        <w:t>If a question your company is facing resembles any of these, the sensible first step is a conversation, before any proposal, about what you are actually trying to decide; that is the point at which we can tell you honestly whether this is a firm well suited to the problem, or whether it is not. Inquiries, and requests to discuss a specific situation in confidence, may be directed to Julie Ramsey,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Ramsey</dc:creator>
  <cp:keywords/>
  <dc:description>generated by python-docx</dc:description>
  <cp:lastModifiedBy>Julie Ramsey</cp:lastModifiedBy>
  <cp:revision>1</cp:revision>
  <dcterms:created xsi:type="dcterms:W3CDTF">2011-06-17T09:00:00Z</dcterms:created>
  <dcterms:modified xsi:type="dcterms:W3CDTF">2011-06-17T09:00:00Z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