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Calderwood Partners LLC</w:t>
      </w:r>
    </w:p>
    <w:p>
      <w:r>
        <w:t>Calderwood Partners is a general management consulting firm. We were founded in 2007 and advise mid-market industrial and services companies on the handful of questions that decide whether a business is genuinely earning its keep: whether its operating model still fits the company it has become, where cost has settled that no longer buys anything, and where growth can still be found without borrowing against the next several years to pay for it. We are a general firm on purpose. We prefer to understand one company's situation in full before reaching for a method to lay over it, and our engagements are therefore better described by the decision each was meant to serve than by any framework that happened to be used along the way.</w:t>
      </w:r>
    </w:p>
    <w:p>
      <w:pPr>
        <w:pStyle w:val="Heading2"/>
      </w:pPr>
      <w:r>
        <w:t>Where we are useful</w:t>
      </w:r>
    </w:p>
    <w:p>
      <w:r>
        <w:t>Our work gathers into three related areas, and most engagements touch more than one, because in a working company they do not hold still while attention is paid to only one of them. The first is the operating model, which is to say how a company is organized, where its decisions are made and by whom, and whether the structure it runs on still suits the size and shape it has grown into. The second is cost, where we help management see plainly what it spends and to what end, and distinguish the cost that buys performance from the cost that has merely accumulated across good years and gone unquestioned. The third is growth of the disciplined sort: a sharper commercial focus, more considered pricing, a measured move into an adjacent market or channel rather than a leap into one.</w:t>
      </w:r>
    </w:p>
    <w:p>
      <w:pPr>
        <w:pStyle w:val="Heading2"/>
      </w:pPr>
      <w:r>
        <w:t>The way an engagement runs</w:t>
      </w:r>
    </w:p>
    <w:p>
      <w:r>
        <w:t>We staff engagements with small, senior-led teams, so that the people who sit across the table in the first week are the same ones carrying the work in the tenth, and senior enough that judgment sits in the room rather than being held in reserve at a distance. We describe scope with some care, since a scope that promises more than the evidence will bear becomes a liability to the client first and to the firm shortly after. An engagement opens with a letter setting out its scope, its fees, and its terms; it proceeds through working sessions with the client's own team, regular status reporting to the executive who sponsors the work, and deliverables sized to the decision at hand rather than to the calendar. Throughout, our habit is to say what we can establish, to mark plainly where a judgment rests on thinner ground, and to bring an inconvenient finding forward while it can still change what a client decides.</w:t>
      </w:r>
    </w:p>
    <w:p>
      <w:pPr>
        <w:pStyle w:val="Heading2"/>
      </w:pPr>
      <w:r>
        <w:t>Engagements, by way of illustration</w:t>
      </w:r>
    </w:p>
    <w:p>
      <w:r>
        <w:t>The engagements named here are a representative sample of the firm's work between 2008 and 2014, offered to show the range of situations we are brought into and not as an account of our clients. In the earlier years we advised Hughes Group, and then across 2009 a cluster of companies whose problems ran from operating model to cost, among them Brown and Sons, Key Group, Carroll, Merritt and Williams, and Garza, Leblanc and Porter. The work continued with Poole, Mcknight and Rush, and then with Scott, Smith and Edwards and Stark-Wilson; more recently we have worked with Garcia-Werner, Walker-Murray, and Pacheco-Casey. Taken together the sample spans all three areas at once, weighted toward operating-model work in some cases, a cost program in others, and a commercial or growth question in the remainder; that spread is simply what a general practice looks like from the outside, and not the mark of one method dressed up under several names.</w:t>
      </w:r>
    </w:p>
    <w:p>
      <w:r>
        <w:t>These examples are illustrative, and meant to be read that way. They are a part of the firm's work in these years, selected for range, and they should not be taken to describe the whole of what we do or to mark the outer limits of the industries and company sizes we serve. Each engagement answered a particular decision a client's leadership was facing, and each was scoped, staffed, and run on its own terms; that is the reason we are slow to offer past work as a template a new situation can be fitted into, because the likeness between two companies tends to be thinner than it first appears, and most of what we contribute begins where that likeness runs out.</w:t>
      </w:r>
    </w:p>
    <w:p>
      <w:pPr>
        <w:pStyle w:val="Heading2"/>
      </w:pPr>
      <w:r>
        <w:t>Starting a conversation</w:t>
      </w:r>
    </w:p>
    <w:p>
      <w:r>
        <w:t>If a question your company is facing resembles any of these, the sensible first step is a conversation, before any proposal, about what it is you are actually trying to decide, since that is the point at which we can tell you honestly whether this is a firm suited to the problem or whether it is not. Inquiries, and requests to discuss a particular situation in confidence, may be directed to Julie Ramsey,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Ramsey</dc:creator>
  <cp:keywords/>
  <dc:description>generated by python-docx</dc:description>
  <cp:lastModifiedBy>Julie Ramsey</cp:lastModifiedBy>
  <cp:revision>1</cp:revision>
  <dcterms:created xsi:type="dcterms:W3CDTF">2014-06-16T09:00:00Z</dcterms:created>
  <dcterms:modified xsi:type="dcterms:W3CDTF">2014-06-16T09:00:00Z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