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Calderwood Partners: Firm Overview</w:t>
      </w:r>
    </w:p>
    <w:p>
      <w:r>
        <w:t>Calderwood Partners is a general management consulting firm, founded in 2007, that advises mid-market industrial and services companies on the questions that decide whether a business is genuinely earning what it costs to run: whether the way it is organized still fits the company it has become, whether its spending still buys the performance it was meant to, and whether its next stretch of growth can be reached without mortgaging the years that follow. We describe ourselves as a general firm deliberately, because we would rather understand a single company's situation on its own terms than reach first for a method and lay it over the problem, and our engagements are accordingly better named by the decision each was meant to inform than by any framework used to arrive there.</w:t>
      </w:r>
    </w:p>
    <w:p>
      <w:pPr>
        <w:pStyle w:val="Heading2"/>
      </w:pPr>
      <w:r>
        <w:t>The problems we are brought into</w:t>
      </w:r>
    </w:p>
    <w:p>
      <w:r>
        <w:t>Most of what we do gathers into three connected areas, and a given engagement rarely sits cleanly in one of them, because in a working company the three do not hold still while attention is paid to only one. The first is the operating model: how a company is organized, where its decisions are made and by whom, and whether the structure it runs on still suits its present size and shape rather than the one it had some years ago. The second is cost, where our part is to help management see plainly what it spends and to what end, and to tell the spending that still buys performance apart from the spending that has merely settled in place across a run of good years and gone unexamined. The third is growth of the disciplined kind, by which we mean a sharper commercial focus, more deliberate pricing, or a measured step into an adjacent market, rather than an expansion undertaken for its own sake.</w:t>
      </w:r>
    </w:p>
    <w:p>
      <w:pPr>
        <w:pStyle w:val="Heading2"/>
      </w:pPr>
      <w:r>
        <w:t>How an engagement is run</w:t>
      </w:r>
    </w:p>
    <w:p>
      <w:r>
        <w:t>We staff our work with small, senior-led teams, so that the people a client meets in the first week are the same ones carrying the work in the last, and senior enough that judgment sits in the room rather than being kept at a distance and consulted on occasion. We are careful in how we describe scope, since a scope drawn wider than the evidence will support becomes a difficulty for the client first and for the firm soon after. An engagement opens with a letter that sets out its scope, its fees, and its terms; it proceeds through working sessions with the client's own people, regular reporting to the executive who sponsors the work, and deliverables sized to the decision in front of the client rather than to the calendar. Our habit throughout is to say plainly what we can establish, to mark just as plainly where a judgment rests on thinner ground, and to bring an unwelcome finding forward while it can still change what a client decides.</w:t>
      </w:r>
    </w:p>
    <w:p>
      <w:pPr>
        <w:pStyle w:val="Heading2"/>
      </w:pPr>
      <w:r>
        <w:t>A sample of the work</w:t>
      </w:r>
    </w:p>
    <w:p>
      <w:r>
        <w:t>The engagements named here are a representative selection of the firm's work between 2008 and 2016, set down to show the range of situations we are asked into rather than to catalogue our clients. The early years included Hughes Group, and across 2009 a cluster of companies whose difficulties ran from operating model to cost, among them Brown and Sons, Key Group, Carroll, Merritt and Williams, and Garza, Leblanc and Porter. The work continued with Poole, Mcknight and Rush, and then with Scott, Smith and Edwards and Stark-Wilson; in the years since we have advised Garcia-Werner, Walker-Murray, and Pacheco-Casey, and more recently Johnson, Lopez and Brooks and Hughes Group. Taken together the selection spans all three of our areas at once, weighted toward operating-model work in some cases, a cost program in others, and a commercial question in the remainder, which is simply what a general practice looks like from the outside and not one method wearing several names.</w:t>
      </w:r>
    </w:p>
    <w:p>
      <w:r>
        <w:t>These are illustrative, and are meant to be read as nothing more. They are a part of the firm's work in these years, chosen for range, and should not be taken to describe the whole of what we do or to fix the outer edge of the industries and company sizes we serve. Each engagement answered a particular decision a client's leadership was facing, and each was scoped, staffed, and run on its own terms, which is the reason we are slow to hold up past work as a template a new situation can be fitted into.</w:t>
      </w:r>
    </w:p>
    <w:p>
      <w:pPr>
        <w:pStyle w:val="Heading2"/>
      </w:pPr>
      <w:r>
        <w:t>A first conversation</w:t>
      </w:r>
    </w:p>
    <w:p>
      <w:r>
        <w:t>If a question your company is weighing resembles any of these, the sensible first step is a conversation, before any proposal, about what it is you are actually trying to decide, since that is the point at which we can tell you honestly whether this is a firm suited to the problem or whether it is not. Inquiries, and requests to discuss a particular situation in confidence, may be directed to Julie Ramsey,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Ramsey</dc:creator>
  <cp:keywords/>
  <dc:description>generated by python-docx</dc:description>
  <cp:lastModifiedBy>Julie Ramsey</cp:lastModifiedBy>
  <cp:revision>1</cp:revision>
  <dcterms:created xsi:type="dcterms:W3CDTF">2017-06-15T09:00:00Z</dcterms:created>
  <dcterms:modified xsi:type="dcterms:W3CDTF">2017-06-15T09:00:00Z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