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Calderwood Partners</w:t>
      </w:r>
    </w:p>
    <w:p>
      <w:r>
        <w:t>Calderwood Partners has advised mid-market industrial and services companies since its founding in 2007, working as a general management consultancy on the small number of questions that decide whether a business is earning its keep: whether its operating model still fits the company it has grown into, where its cost has stopped buying anything, and where it can still find growth without borrowing against several years to pay for it. Being a general firm is a choice we make on purpose and hold to, because we would rather take the measure of one company in full before reaching for a method to lay across it, and we would sooner describe an engagement by the decision it was meant to serve than by whatever framework happened to be useful along the way.</w:t>
      </w:r>
    </w:p>
    <w:p>
      <w:pPr>
        <w:pStyle w:val="Heading2"/>
      </w:pPr>
      <w:r>
        <w:t>The questions we help answer</w:t>
      </w:r>
    </w:p>
    <w:p>
      <w:r>
        <w:t>Our work falls into three related areas, and few engagements keep to just one of them, since inside a running company the three are not separable in the tidy way a heading suggests. The operating model is the first: the way a company is organized, the places its decisions are actually made, and whether the structure carrying it still matches its present size rather than an earlier one it has since outgrown. Cost is the second, where we help a management team see clearly what it spends and against what return, and separate the spending that earns its place from the spending that has quietly accumulated and never been asked to justify itself. The third is growth pursued with discipline: a tighter commercial focus, pricing set with more deliberation, a considered move into a neighboring market or channel rather than a leap taken on optimism.</w:t>
      </w:r>
    </w:p>
    <w:p>
      <w:pPr>
        <w:pStyle w:val="Heading2"/>
      </w:pPr>
      <w:r>
        <w:t>The shape of an engagement</w:t>
      </w:r>
    </w:p>
    <w:p>
      <w:r>
        <w:t>Our teams are small and led from the front, so that the senior people a client sits with at the outset are the ones still carrying the work at the close, and experienced enough that the judgment a difficult call requires is present in the room and not summoned from elsewhere when it is needed. We take some care over how scope is written, because a scope that reaches past what the evidence can bear turns into a problem for the client first and for us shortly afterward. Each engagement begins with a letter fixing its scope, its fees, and its terms, and then runs through working sessions with the client's own team, steady reporting to the executive who sponsors it, and deliverables cut to the decision at hand rather than to a schedule. We try throughout to state what we can support, to be equally frank about where a conclusion is provisional, and to raise a finding a client would rather not hear while there is still time for it to matter.</w:t>
      </w:r>
    </w:p>
    <w:p>
      <w:pPr>
        <w:pStyle w:val="Heading2"/>
      </w:pPr>
      <w:r>
        <w:t>Representative engagements, 2008 to 2020</w:t>
      </w:r>
    </w:p>
    <w:p>
      <w:r>
        <w:t>The engagements set down here are a representative sample of the firm's work across the years from 2008 to 2020, gathered to show the breadth of situation we are called into and not to serve as an account of whom we act for. From the earliest years there is Hughes Group, and then the run of 2009 engagements that took us from operating model to cost, among them Brown and Sons, Key Group, Carroll, Merritt and Williams, and Garza, Leblanc and Porter. The work carried on with Poole, Mcknight and Rush, then Scott, Smith and Edwards and Stark-Wilson, and through the middle of the last decade with Garcia-Werner, Walker-Murray, Pacheco-Casey, Johnson, Lopez and Brooks, and Hughes Group. In the years since we have advised Brown and Sons and Key Group, and more recently Carroll, Merritt and Williams, Garza, Leblanc and Porter, and Poole, Mcknight and Rush, and most recently Scott, Smith and Edwards and Stark-Wilson. Across the whole of it the sample leans toward operating-model work in some engagements, a cost program in others, and a commercial or growth question in the rest, which is only what a general practice looks like when viewed from outside and not a single method presented under a succession of names.</w:t>
      </w:r>
    </w:p>
    <w:p>
      <w:r>
        <w:t>These examples are illustrative and should be read as such. They are a portion of the firm's work over these years, chosen to show range, and are not meant to describe everything we do or to mark the limits of the industries and company sizes we are able to serve. Every engagement answered a specific decision a client's leadership was facing, and every one was scoped, staffed, and conducted on its own terms, which is why we are reluctant to offer past work as a template that a new situation can simply be fitted into; the resemblance between two companies is usually thinner than it first looks, and most of what we add begins where that resemblance gives out.</w:t>
      </w:r>
    </w:p>
    <w:p>
      <w:pPr>
        <w:pStyle w:val="Heading2"/>
      </w:pPr>
      <w:r>
        <w:t>Getting in touch</w:t>
      </w:r>
    </w:p>
    <w:p>
      <w:r>
        <w:t>If your company is weighing a question that resembles one of these, the useful first step is not a proposal but a conversation about what it is you are actually trying to decide, since that is where we can tell you honestly whether we are the right firm for the problem or whether we are not. Inquiries, and requests to talk through a particular situation in confidence, may be directed to Julie Ramsey, Managing Principal.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Ramsey</dc:creator>
  <cp:keywords/>
  <dc:description>generated by python-docx</dc:description>
  <cp:lastModifiedBy>Julie Ramsey</cp:lastModifiedBy>
  <cp:revision>1</cp:revision>
  <dcterms:created xsi:type="dcterms:W3CDTF">2020-06-14T09:00:00Z</dcterms:created>
  <dcterms:modified xsi:type="dcterms:W3CDTF">2020-06-14T09:00:00Z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