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Onboarding Record: Matthew Parrish</w:t>
      </w:r>
    </w:p>
    <w:p>
      <w:r>
        <w:t>Matthew Parrish joins the firm this week as a Research Associate in the Advisory practice, and this short record, which Julie Ramsey keeps in his file, sets down where he sits within the practice and what the opening weeks are meant to accomplish. He comes to us to run benchmarking and comparables, which is the unglamorous but load-bearing work of assembling the outside reference points against which a team measures whatever a client tells it about itself, and that work suits a person who is unwilling to trust a tidy number until he has seen, in some detail, how the number was built.</w:t>
      </w:r>
    </w:p>
    <w:p>
      <w:r>
        <w:t>His contribution is a supporting one in the plain sense that his figures travel into other people's memos and decks before they are ever read on their own, and I want that understood here as a strength and not a limitation, because a comparison is only as sound as the person who assembled it, and a benchmark that will not survive a partner's questioning does the client no good and does us some harm. He should therefore expect his notes to be read closely and argued with, and he should keep writing them in the compact, neutral manner he already favors, marking plainly wherever a source is thin, a definition has been stretched to make two companies comparable, or a figure rests on an assumption that the reader deserves to see named.</w:t>
      </w:r>
    </w:p>
    <w:p>
      <w:r>
        <w:t>Within the practice Matthew Parrish reports to Jason Torres, Principal, who will assign his first pieces of work, set their order against the calendar of live engagements, and read behind him until the firm's standards for a defensible number have become second nature. Questions of scope or method that he cannot settle at his own desk should go to Jason Torres before they travel any further, and the same is true of any request that would pull his time across more engagements than a week can honestly hold.</w:t>
      </w:r>
    </w:p>
    <w:p>
      <w:r>
        <w:t>For this first period the aim is deliberately modest: to learn which sources the firm trusts and why, how a comparable set is constructed and defended here, and how far a figure may be pushed before it stops being something we would put our name to. His workspace and systems access are arranged, and his staffing for the opening weeks is settled. Before the end of his first week he should sit down with Jason Torres to walk through the two engagements he will support, so that his benchmarking has a live problem to attach itself to from the outset.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Matthew Parrish</dc:title>
  <dc:subject/>
  <dc:creator>Julie Ramsey</dc:creator>
  <cp:keywords/>
  <dc:description>generated by python-docx</dc:description>
  <cp:lastModifiedBy>Julie Ramsey</cp:lastModifiedBy>
  <cp:revision>1</cp:revision>
  <dcterms:created xsi:type="dcterms:W3CDTF">2009-11-19T09:00:00Z</dcterms:created>
  <dcterms:modified xsi:type="dcterms:W3CDTF">2009-11-19T09:00:00Z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