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Status report on the trademark clearance engagement for Jackson Inc. Prepared by Ashley Williams, Patent Agent. Privileged and confidential; prepared for the client in anticipation of legal advice.</w:t>
      </w:r>
    </w:p>
    <w:p>
      <w:pPr>
        <w:pStyle w:val="Heading2"/>
      </w:pPr>
      <w:r>
        <w:t>Status Summary</w:t>
      </w:r>
    </w:p>
    <w:p>
      <w:r>
        <w:t>The engagement for Jackson Inc is at its midpoint and on schedule. Knockout screening is complete, full clearance searching has returned for every candidate that survived the screen, and drafting has begun on the candidates whose records are complete. No date on this matter has moved.</w:t>
      </w:r>
    </w:p>
    <w:p>
      <w:r>
        <w:t>Two items require a decision from the company before the second half proceeds as planned. Neither is a surprise and both were discussed at the last working session. They appear under Risks below with what each one costs if it waits. Nothing in this report is an opinion on the availability of any mark. The opinions issue in writing, they issue over a signature, and they will say what record they rest on. A status report is not a substitute for one and should not be relied on as though it were.</w:t>
      </w:r>
    </w:p>
    <w:p>
      <w:pPr>
        <w:pStyle w:val="Heading2"/>
      </w:pPr>
      <w:r>
        <w:t>Completed This Period</w:t>
      </w:r>
    </w:p>
    <w:p>
      <w:pPr>
        <w:pStyle w:val="ListBullet"/>
      </w:pPr>
      <w:r>
        <w:t>Candidate list confirmed in writing and a record opened for each mark on it.</w:t>
      </w:r>
    </w:p>
    <w:p>
      <w:pPr>
        <w:pStyle w:val="ListBullet"/>
      </w:pPr>
      <w:r>
        <w:t>Knockout screening completed against federal registrations and pending applications. Each screened-out candidate is documented with the reference that stopped it, so a decision to revisit one begins from a record rather than from someone's recollection of a call.</w:t>
      </w:r>
    </w:p>
    <w:p>
      <w:pPr>
        <w:pStyle w:val="ListBullet"/>
      </w:pPr>
      <w:r>
        <w:t>Full clearance searches ordered and returned for the surviving candidates, covering federal, state, and common-law sources, including business name and domain usage.</w:t>
      </w:r>
    </w:p>
    <w:p>
      <w:pPr>
        <w:pStyle w:val="ListBullet"/>
      </w:pPr>
      <w:r>
        <w:t>Search returns reconciled by mark. Kelly Snyder has the reconciliation current for every candidate but the last set of common-law returns, which are in hand and in progress.</w:t>
      </w:r>
    </w:p>
    <w:p>
      <w:pPr>
        <w:pStyle w:val="ListBullet"/>
      </w:pPr>
      <w:r>
        <w:t>Drafting begun on the candidates whose records are complete rather than held until the full set is in, which keeps the opinions from arriving in a single batch at the end.</w:t>
      </w:r>
    </w:p>
    <w:p>
      <w:pPr>
        <w:pStyle w:val="Heading2"/>
      </w:pPr>
      <w:r>
        <w:t>Upcoming Work</w:t>
      </w:r>
    </w:p>
    <w:p>
      <w:pPr>
        <w:pStyle w:val="ListBullet"/>
      </w:pPr>
      <w:r>
        <w:t>Complete the reconciliation of the remaining common-law returns.</w:t>
      </w:r>
    </w:p>
    <w:p>
      <w:pPr>
        <w:pStyle w:val="ListBullet"/>
      </w:pPr>
      <w:r>
        <w:t>Draft the search-boundary section for each opinion: what was examined, what was not, and why the line falls where it does. If an opinion is ever read by someone looking for a gap, this is the section they read first, and it is drafted on that assumption.</w:t>
      </w:r>
    </w:p>
    <w:p>
      <w:pPr>
        <w:pStyle w:val="ListBullet"/>
      </w:pPr>
      <w:r>
        <w:t>Draft opinions on likelihood of confusion and registrability for the candidates the company elects to pursue.</w:t>
      </w:r>
    </w:p>
    <w:p>
      <w:pPr>
        <w:pStyle w:val="ListBullet"/>
      </w:pPr>
      <w:r>
        <w:t>Closing conference to walk through the opinions and the options they leave open.</w:t>
      </w:r>
    </w:p>
    <w:p>
      <w:pPr>
        <w:pStyle w:val="Heading2"/>
      </w:pPr>
      <w:r>
        <w:t>Budget</w:t>
      </w:r>
    </w:p>
    <w:p>
      <w:r>
        <w:t>The fixed fee of $48,000 covers the screening, the searching, the opinions, and the closing conference. At the midpoint the work performed is consistent with that fee, and within the scope stated in the engagement letter I do not anticipate coming back to you about it. Search vendor charges are billed at cost and are within the range we discussed at the outset. The first risk below could take work outside the stated scope. If it does, you will hear from me before that work is done rather than after, and it would come to you as a separate letter rather than as an adjustment to this one.</w:t>
      </w:r>
    </w:p>
    <w:p>
      <w:pPr>
        <w:pStyle w:val="Heading2"/>
      </w:pPr>
      <w:r>
        <w:t>Risks</w:t>
      </w:r>
    </w:p>
    <w:p>
      <w:pPr>
        <w:pStyle w:val="ListBullet"/>
      </w:pPr>
      <w:r>
        <w:t>Description of goods. Clearance is bound to the categories searched. The product categories described at the last working session are broader than the candidate brief we searched against. Drafting on two candidates is held until the intended description is confirmed in writing. If the description broadens, the search broadens, and that is a scope question with a fee attached to it. If it does not broaden, this item closes on receipt of one email.</w:t>
      </w:r>
    </w:p>
    <w:p>
      <w:pPr>
        <w:pStyle w:val="ListBullet"/>
      </w:pPr>
      <w:r>
        <w:t>One candidate with an adverse common-law record. The federal register is quiet for this mark and the common-law returns are not. It will receive a longer treatment and the treatment may not be favorable. If it is the mark the business wants, the time to talk about it is before the opinion is drafted rather than after the analysis exists in writing.</w:t>
      </w:r>
    </w:p>
    <w:p>
      <w:pPr>
        <w:pStyle w:val="ListBullet"/>
      </w:pPr>
      <w:r>
        <w:t>Sources outside our control. Part of the common-law investigation depends on records held by third parties and returned on their schedule. It has not cost us a date and I do not expect it to. It is the item on this matter with the least slack, which is why it appears here rather than in the section above.</w:t>
      </w:r>
    </w:p>
    <w:p>
      <w:pPr>
        <w:pStyle w:val="ListBullet"/>
      </w:pPr>
      <w:r>
        <w:t>Filing is not within this engagement. If you decide to file on a cleared mark, that work requires its own letter and its own dates before any deadline attaches to it. Raised now it costs nothing. Raised late it costs a date, and a date is the one thing on a matter like this that cannot be recovered.</w:t>
      </w:r>
    </w:p>
    <w:p>
      <w:r>
        <w:t>The docket for the matter is current and Kelly Snyder holds it. If a date changes on your side, or if one arrives from anywhere else, send it to her the day you have it rather than waiting for the next report. Questions on any item above can come to me directly.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Trademark Clearance for Jackson Inc</dc:title>
  <dc:subject/>
  <dc:creator>Ashley Williams</dc:creator>
  <cp:keywords/>
  <dc:description>generated by python-docx</dc:description>
  <cp:lastModifiedBy>Ashley Williams</cp:lastModifiedBy>
  <cp:revision>1</cp:revision>
  <dcterms:created xsi:type="dcterms:W3CDTF">2024-06-06T09:00:00Z</dcterms:created>
  <dcterms:modified xsi:type="dcterms:W3CDTF">2024-06-06T09:00:00Z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