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OrgSmith"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To: Kelly Snyder, Joseph Walker</w:t>
        <w:br/>
        <w:t>From: Heather Munoz</w:t>
        <w:br/>
        <w:t>Re: Prosecution Support for Keith-Duarte -- kickoff, workstreams, and what I want first</w:t>
        <w:br/>
        <w:t>Privileged and confidential. Attorney work product.</w:t>
      </w:r>
    </w:p>
    <w:p>
      <w:r>
        <w:t>The file opened August 11, 2021 and the first tranche of papers from Keith-Duarte is in. Our objective for the opening weeks is narrow, and I want it kept narrow: get every date in the transferred portfolio docketed, confirmed against the papers it came from, and reconciled with what the prior firm recorded. Nothing else in this memo matters until that is done. We do not yet know this portfolio well enough to have a strategy, and I would rather say so than improvise one.</w:t>
      </w:r>
    </w:p>
    <w:p>
      <w:r>
        <w:t>Joseph Palmer is our client contact and expects to hear from us on a cadence rather than by exception. He is a general manager, not a patent lawyer. Write to him accordingly, which means the answer first and the reasoning after, and it does not mean leaving the reasoning out.</w:t>
      </w:r>
    </w:p>
    <w:p>
      <w:pPr>
        <w:pStyle w:val="Heading2"/>
      </w:pPr>
      <w:r>
        <w:t>Workstreams</w:t>
      </w:r>
    </w:p>
    <w:p>
      <w:pPr>
        <w:pStyle w:val="ListBullet"/>
      </w:pPr>
      <w:r>
        <w:t>Intake and docketing (Joseph Walker). Every matter Keith-Duarte transfers gets docketed on receipt against the papers in the wrapper, not against the prior firm's docket sheet. Where the two disagree, ours governs and theirs is a question. Bring me any disagreement the day you find it.</w:t>
      </w:r>
    </w:p>
    <w:p>
      <w:pPr>
        <w:pStyle w:val="ListBullet"/>
      </w:pPr>
      <w:r>
        <w:t>File history review (Kelly Snyder). Read the prosecution history of each family before you read the pending claims. I want to know what was argued, what was disclaimed, and what was left on the table, family by family. Do not summarize the claims for me yet; the claims will read differently once you know what was said to get them.</w:t>
      </w:r>
    </w:p>
    <w:p>
      <w:pPr>
        <w:pStyle w:val="ListBullet"/>
      </w:pPr>
      <w:r>
        <w:t>Formalities (Kelly Snyder, with Joseph Walker). Confirm powers of attorney, correspondence addresses, and assignment recordation for every matter in scope. Inventory the references we have been given against what has actually been submitted. This is the dull work that keeps the interesting work from becoming a problem.</w:t>
      </w:r>
    </w:p>
    <w:p>
      <w:pPr>
        <w:pStyle w:val="ListBullet"/>
      </w:pPr>
      <w:r>
        <w:t>Correspondence and cadence (Joseph Walker). Draft the confirmation schedule listing every docketed date and the paper each was calculated from. Client updates go out against a docket number and stay short.</w:t>
      </w:r>
    </w:p>
    <w:p>
      <w:pPr>
        <w:pStyle w:val="ListBullet"/>
      </w:pPr>
      <w:r>
        <w:t>Scope watch (all). This engagement covers prosecution. It does not cover opinions, freedom-to-operate work, or anything adjacent that arrives as a question on a phone call. Route those to me and do not answer them helpfully. An answer given in passing is still an answer, and it will be quoted back without the sentence you would have put around it.</w:t>
      </w:r>
    </w:p>
    <w:p>
      <w:pPr>
        <w:pStyle w:val="Heading2"/>
      </w:pPr>
      <w:r>
        <w:t>Next Steps</w:t>
      </w:r>
    </w:p>
    <w:p>
      <w:pPr>
        <w:pStyle w:val="ListBullet"/>
      </w:pPr>
      <w:r>
        <w:t>Joseph Walker: confirmation schedule to me this week, with the docket reconciled against the transferred files before it goes anywhere.</w:t>
      </w:r>
    </w:p>
    <w:p>
      <w:pPr>
        <w:pStyle w:val="ListBullet"/>
      </w:pPr>
      <w:r>
        <w:t>Kelly Snyder: the first two families read, and a memorandum on what those histories constrain. State what you searched and what you did not, in the memorandum, not in a footnote.</w:t>
      </w:r>
    </w:p>
    <w:p>
      <w:pPr>
        <w:pStyle w:val="ListBullet"/>
      </w:pPr>
      <w:r>
        <w:t>Heather Munoz: call with Joseph Palmer to set the reporting cadence and to tell him what we found in the transferred docket, whether or not it is a comfortable call.</w:t>
      </w:r>
    </w:p>
    <w:p>
      <w:pPr>
        <w:pStyle w:val="ListBullet"/>
      </w:pPr>
      <w:r>
        <w:t>All: nothing goes to Keith-Duarte during intake that I have not read first. This is not a comment on your drafting. It is that a client forms its view of a firm in the first month, and I would rather that view be formed on purpose.</w:t>
      </w:r>
    </w:p>
    <w:p>
      <w:pPr>
        <w:pStyle w:val="ListBullet"/>
      </w:pPr>
      <w:r>
        <w:t>All: log your time daily rather than weekly. The fee on this engagement was quoted against an assumption about the transferred files, and I want to know early if the assumption was wrong.</w:t>
      </w:r>
    </w:p>
    <w:p>
      <w:r>
        <w:t>One more thing, and it is the only part of this memo I will not negotiate. We took this file with dates already running on it. If any of you finds a date closer than it should be, you tell me the hour you find it, not at the next meeting and not once you have worked out how it happened. How it happened is a conversation we can have afterward, and we will have it without blame. The date is not a conversation. It is a date.</w:t>
      </w:r>
    </w:p>
    <w:sectPr w:rsidR="00FC693F" w:rsidRPr="0006063C" w:rsidSect="00034616">
      <w:headerReference w:type="first" r:id="rId9"/>
      <w:headerReference w:type="default" r:id="rId10"/>
      <w:footerReference w:type="default" r:id="rId11"/>
      <w:footerReference w:type="first" r:id="rId12"/>
      <w:pgSz w:w="12240" w:h="15840"/>
      <w:pgMar w:top="1440" w:right="1800" w:bottom="1440" w:left="180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t xml:space="preserve">Page </w:t>
    </w:r>
    <w:fldSimple w:instr=" PAGE ">
      <w:r>
        <w:t>1</w:t>
      </w:r>
    </w:fldSimpl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Pr>
        <w:b/>
        <w:color w:val="1E4D2B"/>
        <w:sz w:val="28"/>
      </w:rPr>
      <w:t>Hollowell Patent Group PLLC</w:t>
    </w:r>
  </w:p>
  <w:p>
    <w:r>
      <w:rPr>
        <w:sz w:val="18"/>
      </w:rPr>
      <w:t>www.hollowellpatent.com</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sz w:val="18"/>
      </w:rPr>
      <w:t>Hollowell Patent Group PLLC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Kickoff Memo: Prosecution Support for Keith-Duarte</dc:title>
  <dc:subject/>
  <dc:creator>Heather Munoz</dc:creator>
  <cp:keywords/>
  <dc:description>generated by python-docx</dc:description>
  <cp:lastModifiedBy>Heather Munoz</cp:lastModifiedBy>
  <cp:revision>1</cp:revision>
  <dcterms:created xsi:type="dcterms:W3CDTF">2021-08-14T09:00:00Z</dcterms:created>
  <dcterms:modified xsi:type="dcterms:W3CDTF">2021-08-14T09:00:00Z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rgSmithSynthetic">
    <vt:lpwstr>true</vt:lpwstr>
  </property>
</Properties>
</file>