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Prepared by Heather Munoz, Partner. This report covers the current reporting period on the Keith-Duarte prosecution engagement. Privileged and confidential; prepared for the client and its counsel.</w:t>
      </w:r>
    </w:p>
    <w:p>
      <w:pPr>
        <w:pStyle w:val="Heading2"/>
      </w:pPr>
      <w:r>
        <w:t>Status Summary</w:t>
      </w:r>
    </w:p>
    <w:p>
      <w:r>
        <w:t>The engagement is on schedule and at roughly its midpoint. Intake, docketing, and reconciliation of the transferred portfolio are complete and behind us, and the substantive prosecution work is now the whole of the effort. No date has been missed and none is presently at risk. Measured against the engagement fee of $39,500, our time to date sits somewhat under half. That is where it should be at this point, and it is not a prediction that the second half will cost less than the first. Two items below could move it. Both are flagged here rather than absorbed quietly.</w:t>
      </w:r>
    </w:p>
    <w:p>
      <w:pPr>
        <w:pStyle w:val="Heading2"/>
      </w:pPr>
      <w:r>
        <w:t>Accomplishments This Period</w:t>
      </w:r>
    </w:p>
    <w:p>
      <w:r>
        <w:t>The office action responses due in this cycle were prepared, reviewed, and filed. Joseph Walker drafted them and I reviewed them. Neither required an extension and neither used the full response period. That is deliberate. We do not treat an extension fee as a budget line. We treat it as evidence that something went wrong upstream of the deadline.</w:t>
      </w:r>
    </w:p>
    <w:p>
      <w:r>
        <w:t>Kelly Snyder completed the file history review of the two lead families and delivered her memorandum. I will state her finding as she stated it rather than smoothing it: the prosecution arguments made in the parent applications constrain the claim scope available in the pending continuations more than the transfer summary from prior counsel indicated. The memorandum sets out what she searched and what she did not. It is privileged. It should stay inside Keith-Duarte and its counsel, and it should not be forwarded to a customer, an investor, or a prospective acquirer without speaking to me first.</w:t>
      </w:r>
    </w:p>
    <w:p>
      <w:r>
        <w:t>The restriction requirement in the pending device application was answered. We elected the apparatus group, on your written instruction and after the cost of the divisional was put in front of you as a figure. The method claims are preserved for a divisional and are docketed as such. Nothing about that election is irreversible on the current record.</w:t>
      </w:r>
    </w:p>
    <w:p>
      <w:r>
        <w:t>Assignment recordation for the two matters that transferred with gaps has been confirmed against the Office's records. Powers of attorney and correspondence addresses are now correct across every matter in scope. This is unglamorous work and it is the reason nothing has surprised us so far.</w:t>
      </w:r>
    </w:p>
    <w:p>
      <w:pPr>
        <w:pStyle w:val="Heading2"/>
      </w:pPr>
      <w:r>
        <w:t>Upcoming Work</w:t>
      </w:r>
    </w:p>
    <w:p>
      <w:r>
        <w:t>The remainder of the engagement is heavier in substance and lighter in administration than the part behind us. We expect responses in the remaining families, a continuation decision on the lead family that will need an answer from you rather than from us, and the divisional filing if you elect to make it. Kelly Snyder will extend the file history review to the families not yet covered. Joseph Walker continues to carry the docket and the correspondence, and the revised docket sheet, with the unextended and extended dates in separate columns, goes out with the next report as requested.</w:t>
      </w:r>
    </w:p>
    <w:p>
      <w:r>
        <w:t>We will also need a decision on the two matters where the claims as pending are, in our current view, narrower than the products they were drafted to cover. That is a business question about whether to spend prosecution effort on scope you may not obtain, and it is yours to answer. We will give you the analysis. We will not make the call, and we would be doing you no favor by pretending the answer is obvious.</w:t>
      </w:r>
    </w:p>
    <w:p>
      <w:pPr>
        <w:pStyle w:val="Heading2"/>
      </w:pPr>
      <w:r>
        <w:t>Risks</w:t>
      </w:r>
    </w:p>
    <w:p>
      <w:pPr>
        <w:pStyle w:val="ListBullet"/>
      </w:pPr>
      <w:r>
        <w:t>The date discrepancy with prior counsel remains unresolved. We have written twice and have had no substantive response. Our docket runs to our own dates, so the exposure is small, but the discrepancy sits on the record and we would prefer it closed rather than explained later.</w:t>
      </w:r>
    </w:p>
    <w:p>
      <w:pPr>
        <w:pStyle w:val="ListBullet"/>
      </w:pPr>
      <w:r>
        <w:t>The scope finding in the lead family may reduce what the portfolio is worth in a licensing conversation. That is a conclusion about claim scope, not about the technology, and it is not final; the continuation strategy exists precisely to test it. We raise it now because you should not learn it from a diligence request.</w:t>
      </w:r>
    </w:p>
    <w:p>
      <w:pPr>
        <w:pStyle w:val="ListBullet"/>
      </w:pPr>
      <w:r>
        <w:t>Budget. The divisional, if elected, and a second round of office actions in the remaining families sit outside the level of effort the fee assumed. We will tell you before we cross that line rather than after. Nothing in this report is a request to change the fee.</w:t>
      </w:r>
    </w:p>
    <w:p>
      <w:r>
        <w:t>Our view of the engagement has not changed since kickoff. The portfolio is in better administrative order than it was, and the substantive questions are now visible rather than buried in a wrapper. Neither of those is a claim about outcome, and neither should be read as one. If you want any part of this report expanded, or want the underlying memoranda rather than my summary of them, ask me and they will come with the qualifications attached.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Prosecution Support for Keith-Duarte</dc:title>
  <dc:subject/>
  <dc:creator>Heather Munoz</dc:creator>
  <cp:keywords/>
  <dc:description>generated by python-docx</dc:description>
  <cp:lastModifiedBy>Heather Munoz</cp:lastModifiedBy>
  <cp:revision>1</cp:revision>
  <dcterms:created xsi:type="dcterms:W3CDTF">2021-10-29T09:00:00Z</dcterms:created>
  <dcterms:modified xsi:type="dcterms:W3CDTF">2021-10-29T09:00:00Z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