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Closing working session, Prosecution Support for Keith-Duarte. Minutes taken by Joseph Walker. Privileged and confidential.</w:t>
      </w:r>
    </w:p>
    <w:p>
      <w:pPr>
        <w:pStyle w:val="Heading2"/>
      </w:pPr>
      <w:r>
        <w:t>Attendees</w:t>
      </w:r>
    </w:p>
    <w:p>
      <w:pPr>
        <w:pStyle w:val="ListBullet"/>
      </w:pPr>
      <w:r>
        <w:t>Heather Munoz, Partner, Prosecution</w:t>
      </w:r>
    </w:p>
    <w:p>
      <w:pPr>
        <w:pStyle w:val="ListBullet"/>
      </w:pPr>
      <w:r>
        <w:t>Kelly Snyder, Associate, Prosecution</w:t>
      </w:r>
    </w:p>
    <w:p>
      <w:pPr>
        <w:pStyle w:val="ListBullet"/>
      </w:pPr>
      <w:r>
        <w:t>Joseph Walker, Associate, Prosecution</w:t>
      </w:r>
    </w:p>
    <w:p>
      <w:pPr>
        <w:pStyle w:val="ListBullet"/>
      </w:pPr>
      <w:r>
        <w:t>Joseph Palmer, General Manager, Keith-Duarte</w:t>
      </w:r>
    </w:p>
    <w:p>
      <w:pPr>
        <w:pStyle w:val="Heading2"/>
      </w:pPr>
      <w:r>
        <w:t>Discussion</w:t>
      </w:r>
    </w:p>
    <w:p>
      <w:r>
        <w:t>Heather Munoz opened by reading the docket, which is how every session on this file has opened and how this one closed. Every date that arrived with the transferred portfolio, and every date the portfolio has generated since, has been answered or is scheduled with time in hand. None was missed. No extension was purchased to cover an oversight. Joseph Palmer asked whether that was normal. Heather Munoz said it is the minimum.</w:t>
      </w:r>
    </w:p>
    <w:p>
      <w:r>
        <w:t>Filings this period. The divisional on the method claims was filed and the filing receipt is in the file. Responses went out in the remaining families under prosecution and none required an extension. Kelly Snyder's file history review now covers every family in scope; the memoranda are indexed by family rather than by date, which is how they will be useful to whoever reads them next, including us.</w:t>
      </w:r>
    </w:p>
    <w:p>
      <w:r>
        <w:t>Transition. The engagement covers the work described in the engagement letter and that work is substantially done. Joseph Walker will deliver the closing docket: every open date, the paper each was calculated from, the unextended and extended columns, and separately the matters where what is owed is a decision rather than a filing. Heather Munoz said the firm will state in writing the date on which responsibility for those dates transfers, and that Keith-Duarte should not treat the docket as watched by us after it. Joseph Palmer asked whether follow-on work would need a new letter. It would.</w:t>
      </w:r>
    </w:p>
    <w:p>
      <w:r>
        <w:t>Open decisions. The two families carrying claims narrower than the products they were drafted to cover are still open. Kelly Snyder set out the options and what each one buys, in order of cost. Heather Munoz declined to recommend one, on the ground that the question is what the portfolio is for, and the firm does not know that better than the client does. Joseph Palmer will take it internally. No docket date turns on the answer, which is the only reason it can wait.</w:t>
      </w:r>
    </w:p>
    <w:p>
      <w:r>
        <w:t>Joseph Palmer asked for the firm's candid assessment of the portfolio. Heather Munoz gave it narrowly: the administrative state is sound, the scope questions are documented rather than buried, and nothing in the file history is left for a stranger to find first. She would not go further than that, and said that she would not. Joseph Palmer observed that he had expected a more encouraging answer. Heather Munoz said an encouraging answer is available from anyone and is worth what it costs.</w:t>
      </w:r>
    </w:p>
    <w:p>
      <w:r>
        <w:t>Kelly Snyder raised one item not on the agenda. The continuation in the lead family carries a date that falls after the engagement's work is delivered, and she wanted it said aloud in front of the client rather than recorded in a schedule and assumed. It appears on the closing docket, flagged as a decision owed rather than a filing scheduled. Heather Munoz said that is exactly the kind of date a portfolio loses in a transition, and that the firm would rather be tedious about it now.</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Timing</w:t>
            </w:r>
          </w:p>
        </w:tc>
      </w:tr>
      <w:tr>
        <w:tc>
          <w:tcPr>
            <w:tcW w:type="dxa" w:w="2880"/>
          </w:tcPr>
          <w:p>
            <w:r>
              <w:t>Closing docket: open dates, source papers, unextended and extended columns</w:t>
            </w:r>
          </w:p>
        </w:tc>
        <w:tc>
          <w:tcPr>
            <w:tcW w:type="dxa" w:w="2880"/>
          </w:tcPr>
          <w:p>
            <w:r>
              <w:t>Joseph Walker</w:t>
            </w:r>
          </w:p>
        </w:tc>
        <w:tc>
          <w:tcPr>
            <w:tcW w:type="dxa" w:w="2880"/>
          </w:tcPr>
          <w:p>
            <w:r>
              <w:t>This week</w:t>
            </w:r>
          </w:p>
        </w:tc>
      </w:tr>
      <w:tr>
        <w:tc>
          <w:tcPr>
            <w:tcW w:type="dxa" w:w="2880"/>
          </w:tcPr>
          <w:p>
            <w:r>
              <w:t>File history memoranda indexed by family and delivered as a set</w:t>
            </w:r>
          </w:p>
        </w:tc>
        <w:tc>
          <w:tcPr>
            <w:tcW w:type="dxa" w:w="2880"/>
          </w:tcPr>
          <w:p>
            <w:r>
              <w:t>Kelly Snyder</w:t>
            </w:r>
          </w:p>
        </w:tc>
        <w:tc>
          <w:tcPr>
            <w:tcW w:type="dxa" w:w="2880"/>
          </w:tcPr>
          <w:p>
            <w:r>
              <w:t>This week</w:t>
            </w:r>
          </w:p>
        </w:tc>
      </w:tr>
      <w:tr>
        <w:tc>
          <w:tcPr>
            <w:tcW w:type="dxa" w:w="2880"/>
          </w:tcPr>
          <w:p>
            <w:r>
              <w:t>Written notice of the date responsibility transfers</w:t>
            </w:r>
          </w:p>
        </w:tc>
        <w:tc>
          <w:tcPr>
            <w:tcW w:type="dxa" w:w="2880"/>
          </w:tcPr>
          <w:p>
            <w:r>
              <w:t>Heather Munoz</w:t>
            </w:r>
          </w:p>
        </w:tc>
        <w:tc>
          <w:tcPr>
            <w:tcW w:type="dxa" w:w="2880"/>
          </w:tcPr>
          <w:p>
            <w:r>
              <w:t>With the closing docket</w:t>
            </w:r>
          </w:p>
        </w:tc>
      </w:tr>
      <w:tr>
        <w:tc>
          <w:tcPr>
            <w:tcW w:type="dxa" w:w="2880"/>
          </w:tcPr>
          <w:p>
            <w:r>
              <w:t>Decision on the two narrow families</w:t>
            </w:r>
          </w:p>
        </w:tc>
        <w:tc>
          <w:tcPr>
            <w:tcW w:type="dxa" w:w="2880"/>
          </w:tcPr>
          <w:p>
            <w:r>
              <w:t>Joseph Palmer</w:t>
            </w:r>
          </w:p>
        </w:tc>
        <w:tc>
          <w:tcPr>
            <w:tcW w:type="dxa" w:w="2880"/>
          </w:tcPr>
          <w:p>
            <w:r>
              <w:t>Internal; no docket date depends on it</w:t>
            </w:r>
          </w:p>
        </w:tc>
      </w:tr>
      <w:tr>
        <w:tc>
          <w:tcPr>
            <w:tcW w:type="dxa" w:w="2880"/>
          </w:tcPr>
          <w:p>
            <w:r>
              <w:t>Final invoice and reconciliation of official fees advanced</w:t>
            </w:r>
          </w:p>
        </w:tc>
        <w:tc>
          <w:tcPr>
            <w:tcW w:type="dxa" w:w="2880"/>
          </w:tcPr>
          <w:p>
            <w:r>
              <w:t>Heather Munoz</w:t>
            </w:r>
          </w:p>
        </w:tc>
        <w:tc>
          <w:tcPr>
            <w:tcW w:type="dxa" w:w="2880"/>
          </w:tcPr>
          <w:p>
            <w:r>
              <w:t>After the closing docket is delivered</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Prosecution Support for Keith-Duarte</dc:title>
  <dc:subject/>
  <dc:creator>Joseph Walker</dc:creator>
  <cp:keywords/>
  <dc:description>generated by python-docx</dc:description>
  <cp:lastModifiedBy>Joseph Walker</cp:lastModifiedBy>
  <cp:revision>1</cp:revision>
  <dcterms:created xsi:type="dcterms:W3CDTF">2022-01-11T09:00:00Z</dcterms:created>
  <dcterms:modified xsi:type="dcterms:W3CDTF">2022-01-11T09:00:00Z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