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Heather Munoz, Partner; Kelly Snyder, Patent Agent</w:t>
      </w:r>
    </w:p>
    <w:p>
      <w:r>
        <w:t>From: Richard Henderson, Patent Agent</w:t>
      </w:r>
    </w:p>
    <w:p>
      <w:r>
        <w:t>Re: Freedom-to-operate analysis for Middleton, Sullivan and Wiley; matter opened May 12, 2020</w:t>
      </w:r>
    </w:p>
    <w:p>
      <w:r>
        <w:t>Privileged and confidential. Attorney work product. Prepared at the direction of counsel.</w:t>
      </w:r>
    </w:p>
    <w:p>
      <w:pPr>
        <w:pStyle w:val="Heading2"/>
      </w:pPr>
      <w:r>
        <w:t>Objective</w:t>
      </w:r>
    </w:p>
    <w:p>
      <w:r>
        <w:t>The object of this matter is a written opinion on whether the device described in the client's intake materials falls within an unexpired United States claim held by another party. Everything below is organized to that end. I am writing it down at the front of the file so that when we disagree six months from now about what we were asked to do, there is a document to disagree with.</w:t>
      </w:r>
    </w:p>
    <w:p>
      <w:r>
        <w:t>Two things are unsettled and I want them settled before any searching starts. First, the device description. We have three documents from the client and they do not describe the same product; the drawings appear to show a fourth. Second, the boundary between the housing and the disposable element, which the marketing sheet treats as one product and the specification treats as two. I have asked Barbara Blair for the released engineering drawings and the bill of materials. I would rather wait a week for them than chart claims against the wrong description, and I do not consider that a schedule risk. Charting the wrong part is the schedule risk.</w:t>
      </w:r>
    </w:p>
    <w:p>
      <w:pPr>
        <w:pStyle w:val="Heading2"/>
      </w:pPr>
      <w:r>
        <w:t>Workstreams</w:t>
      </w:r>
    </w:p>
    <w:p>
      <w:pPr>
        <w:pStyle w:val="ListBullet"/>
      </w:pPr>
      <w:r>
        <w:t>Device characterization. Owner: Richard Henderson. Reduce the client's materials to one element-by-element description of what is to be cleared, and get Middleton, Sullivan and Wiley to confirm it in writing. Nothing downstream starts until that confirmation is in the file.</w:t>
      </w:r>
    </w:p>
    <w:p>
      <w:pPr>
        <w:pStyle w:val="ListBullet"/>
      </w:pPr>
      <w:r>
        <w:t>Search strategy and execution. Owner: Richard Henderson, with Heather Munoz approving the strategy and fixing the cutoff. Classification and text searching against United States patents and published United States applications. Search parameters recorded as we go, so the memorandum can state them rather than reconstruct them.</w:t>
      </w:r>
    </w:p>
    <w:p>
      <w:pPr>
        <w:pStyle w:val="ListBullet"/>
      </w:pPr>
      <w:r>
        <w:t>File histories and prior art record. Owner: Kelly Snyder. Pull and read the prosecution history of anything we chart. Her standing instruction applies: the history gets read before the claims.</w:t>
      </w:r>
    </w:p>
    <w:p>
      <w:pPr>
        <w:pStyle w:val="ListBullet"/>
      </w:pPr>
      <w:r>
        <w:t>Claim charting. Owner: Richard Henderson. One chart per material claim, element against element. Each assumption written on the face of the chart that depends on it, not carried in my head.</w:t>
      </w:r>
    </w:p>
    <w:p>
      <w:pPr>
        <w:pStyle w:val="ListBullet"/>
      </w:pPr>
      <w:r>
        <w:t>Analysis and drafting. Owner: Heather Munoz. She takes the charts and writes the opinion. She does not take my conclusions, and I am not going to offer any.</w:t>
      </w:r>
    </w:p>
    <w:p>
      <w:pPr>
        <w:pStyle w:val="ListBullet"/>
      </w:pPr>
      <w:r>
        <w:t>Docketing. Owner: Kelly Snyder. Every checkpoint and client deliverable on the docket at the moment it is agreed, not at the moment it comes due.</w:t>
      </w:r>
    </w:p>
    <w:p>
      <w:pPr>
        <w:pStyle w:val="Heading2"/>
      </w:pPr>
      <w:r>
        <w:t>Next Steps</w:t>
      </w:r>
    </w:p>
    <w:p>
      <w:pPr>
        <w:pStyle w:val="ListBullet"/>
      </w:pPr>
      <w:r>
        <w:t>I will circulate the consolidated device description for internal comment before it goes to the client.</w:t>
      </w:r>
    </w:p>
    <w:p>
      <w:pPr>
        <w:pStyle w:val="ListBullet"/>
      </w:pPr>
      <w:r>
        <w:t>Kelly Snyder to open docket entries for the checkpoints named in the engagement letter and confirm them back to Heather Munoz.</w:t>
      </w:r>
    </w:p>
    <w:p>
      <w:pPr>
        <w:pStyle w:val="ListBullet"/>
      </w:pPr>
      <w:r>
        <w:t>Heather Munoz to fix the search cutoff and the classification scope. I will not start searching until she has, because a cutoff set after the fact is not a cutoff.</w:t>
      </w:r>
    </w:p>
    <w:p>
      <w:pPr>
        <w:pStyle w:val="ListBullet"/>
      </w:pPr>
      <w:r>
        <w:t>Barbara Blair to send the released drawings and the bill of materials. I will follow up at the end of next week if they have not arrived.</w:t>
      </w:r>
    </w:p>
    <w:p>
      <w:pPr>
        <w:pStyle w:val="ListBullet"/>
      </w:pPr>
      <w:r>
        <w:t>Working sessions by telephone for the present, since none of us are in the office. Kelly Snyder has asked that we hold them in a fixed slot so the docket calendar stays legible, which is a reasonable ask and costs nothing.</w:t>
      </w:r>
    </w:p>
    <w:p>
      <w:r>
        <w:t>Two assumptions underlie all of the above, and neither is safe. I am assuming that the drawings, when they arrive, are the released version rather than a working revision. I am assuming that the disposable element is within scope. If either is wrong, the workstreams change and the schedule changes with them. I will say so in writing the moment I know.</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Freedom-to-Operate Analysis for Middleton, Sullivan and Wiley</dc:title>
  <dc:subject/>
  <dc:creator>Richard Henderson</dc:creator>
  <cp:keywords/>
  <dc:description>generated by python-docx</dc:description>
  <cp:lastModifiedBy>Richard Henderson</cp:lastModifiedBy>
  <cp:revision>1</cp:revision>
  <dcterms:created xsi:type="dcterms:W3CDTF">2020-05-15T09:00:00Z</dcterms:created>
  <dcterms:modified xsi:type="dcterms:W3CDTF">2020-05-15T09:00:00Z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