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Privileged and confidential. Attorney work product. Prepared for Middleton, Sullivan and Wiley at the direction of counsel.</w:t>
      </w:r>
    </w:p>
    <w:p>
      <w:r>
        <w:t>Prepared by: Richard Henderson, Patent Agent, Prosecution. Reviewed by Heather Munoz, Partner, before issue.</w:t>
      </w:r>
    </w:p>
    <w:p>
      <w:pPr>
        <w:pStyle w:val="Heading2"/>
      </w:pPr>
      <w:r>
        <w:t>Status Summary</w:t>
      </w:r>
    </w:p>
    <w:p>
      <w:r>
        <w:t>The freedom-to-operate analysis for Middleton, Sullivan and Wiley is at roughly its midpoint and is on schedule. The matter is running against its fixed fee of $113,500, and the effort recorded to date is approximately half of what that fee contemplates, which is where it should be at this point. No conclusion on infringement is stated in this report and none should be read into it. This report describes work performed, not results reached.</w:t>
      </w:r>
    </w:p>
    <w:p>
      <w:r>
        <w:t>One item is behind, and it is not ours. The device description we are clearing is confirmed for the housing and is not confirmed for the disposable element. We have charted the housing. We have not charted the disposable element and will not, because charting against an unconfirmed description produces an opinion about a product nobody ships. Written confirmation of the disposable element is the single item on the critical path.</w:t>
      </w:r>
    </w:p>
    <w:p>
      <w:r>
        <w:t>The scope of this engagement is unchanged from the engagement letter. We are clearing the device as described to us against unexpired United States claims. We are not opining on validity, we are not clearing any jurisdiction outside the United States, and we are not monitoring applications that publish after the cutoff. Each of those has come up in conversation during this period, and in each instance the answer has been that it is separate work requiring its own letter. I record that here so the boundary is documented rather than remembered.</w:t>
      </w:r>
    </w:p>
    <w:p>
      <w:pPr>
        <w:pStyle w:val="Heading2"/>
      </w:pPr>
      <w:r>
        <w:t>Accomplishments This Period</w:t>
      </w:r>
    </w:p>
    <w:p>
      <w:pPr>
        <w:pStyle w:val="ListBullet"/>
      </w:pPr>
      <w:r>
        <w:t>Consolidated the intake materials, which described the product inconsistently, into one element-by-element description, and obtained written confirmation of the housing portion.</w:t>
      </w:r>
    </w:p>
    <w:p>
      <w:pPr>
        <w:pStyle w:val="ListBullet"/>
      </w:pPr>
      <w:r>
        <w:t>Developed and executed the search. The strategy and the cutoff were set by Heather Munoz and are recorded. A second pass was run against a classification the first did not reach, on my judgment that the first result set was thinner than the technology warranted.</w:t>
      </w:r>
    </w:p>
    <w:p>
      <w:pPr>
        <w:pStyle w:val="ListBullet"/>
      </w:pPr>
      <w:r>
        <w:t>Charted the material references against the confirmed portion of the description. One chart per claim, element against element, with the assumption each conclusion depends on written on the face of the chart and logged separately.</w:t>
      </w:r>
    </w:p>
    <w:p>
      <w:pPr>
        <w:pStyle w:val="ListBullet"/>
      </w:pPr>
      <w:r>
        <w:t>Kelly Snyder completed the prosecution histories for the charted references and identified an amendment narrowing the element at issue, together with the applicant's stated reason for it. This bears directly on the construction and was not apparent from the claims alone.</w:t>
      </w:r>
    </w:p>
    <w:p>
      <w:pPr>
        <w:pStyle w:val="ListBullet"/>
      </w:pPr>
      <w:r>
        <w:t>Held a working session with the client at which the open construction question was described plainly and the remaining work scoped against it.</w:t>
      </w:r>
    </w:p>
    <w:p>
      <w:pPr>
        <w:pStyle w:val="ListBullet"/>
      </w:pPr>
      <w:r>
        <w:t>Docketed the checkpoints for the remaining phases at the point they were agreed, and confirmed them back to the file. No date in this matter is carried in anyone's calendar alone.</w:t>
      </w:r>
    </w:p>
    <w:p>
      <w:pPr>
        <w:pStyle w:val="Heading2"/>
      </w:pPr>
      <w:r>
        <w:t>Upcoming Work</w:t>
      </w:r>
    </w:p>
    <w:p>
      <w:pPr>
        <w:pStyle w:val="ListBullet"/>
      </w:pPr>
      <w:r>
        <w:t>Chart the disposable element on receipt of written confirmation of its description. The charting itself is not long; waiting for the confirmation is.</w:t>
      </w:r>
    </w:p>
    <w:p>
      <w:pPr>
        <w:pStyle w:val="ListBullet"/>
      </w:pPr>
      <w:r>
        <w:t>Kelly Snyder to complete the prosecution history estoppel analysis on the narrowed element.</w:t>
      </w:r>
    </w:p>
    <w:p>
      <w:pPr>
        <w:pStyle w:val="ListBullet"/>
      </w:pPr>
      <w:r>
        <w:t>Heather Munoz to fix a construction position for the disputed element or record why it remains open. She writes and signs the memorandum; I do not.</w:t>
      </w:r>
    </w:p>
    <w:p>
      <w:pPr>
        <w:pStyle w:val="ListBullet"/>
      </w:pPr>
      <w:r>
        <w:t>Draft the memorandum, stating the search performed, the cutoff, and the assumptions ahead of any conclusion.</w:t>
      </w:r>
    </w:p>
    <w:p>
      <w:pPr>
        <w:pStyle w:val="ListBullet"/>
      </w:pPr>
      <w:r>
        <w:t>A client review session on the draft before it issues, so that any factual error about the device is corrected while it is still cheap to correct.</w:t>
      </w:r>
    </w:p>
    <w:p>
      <w:pPr>
        <w:pStyle w:val="Heading2"/>
      </w:pPr>
      <w:r>
        <w:t>Risks</w:t>
      </w:r>
    </w:p>
    <w:p>
      <w:pPr>
        <w:pStyle w:val="ListBullet"/>
      </w:pPr>
      <w:r>
        <w:t>Unconfirmed device description. If confirmation of the disposable element keeps slipping, the charting slips with it and the drafting slips behind that. This is the risk most likely to consume the remaining schedule, and we cannot retire it ourselves.</w:t>
      </w:r>
    </w:p>
    <w:p>
      <w:pPr>
        <w:pStyle w:val="ListBullet"/>
      </w:pPr>
      <w:r>
        <w:t>Open construction question. If the estoppel analysis does not resolve the disputed element, the memorandum will carry a qualified conclusion on that element rather than a clean one. That is an outcome and not a failure. Where the record supports a qualified conclusion, the qualified conclusion is the accurate one.</w:t>
      </w:r>
    </w:p>
    <w:p>
      <w:pPr>
        <w:pStyle w:val="ListBullet"/>
      </w:pPr>
      <w:r>
        <w:t>Design change. This analysis describes the device as confirmed to us. Any change to a charted element makes the corresponding chart obsolete. We have asked to be told of changes; we have no means of detecting one.</w:t>
      </w:r>
    </w:p>
    <w:p>
      <w:pPr>
        <w:pStyle w:val="ListBullet"/>
      </w:pPr>
      <w:r>
        <w:t>Fee. The fixed fee of $113,500 covers the scope stated in the engagement letter. Charting a second or revised device description falls outside that scope, and we would say so in writing before doing the work rather than after.</w:t>
      </w:r>
    </w:p>
    <w:p>
      <w:r>
        <w:t>Three assumptions underlie this report. That the confirmed housing description is the released design. That the cutoff set at the outset still applies. That the disposable element, when confirmed, is the one described in the bill of materials we hold. If any of the three is wrong, the status stated above is wrong with it, and I would rather you read the assumptions than the summary.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Freedom-to-Operate Analysis for Middleton, Sullivan and Wiley</dc:title>
  <dc:subject/>
  <dc:creator>Richard Henderson</dc:creator>
  <cp:keywords/>
  <dc:description>generated by python-docx</dc:description>
  <cp:lastModifiedBy>Richard Henderson</cp:lastModifiedBy>
  <cp:revision>1</cp:revision>
  <dcterms:created xsi:type="dcterms:W3CDTF">2020-09-17T09:00:00Z</dcterms:created>
  <dcterms:modified xsi:type="dcterms:W3CDTF">2020-09-17T09:00:00Z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