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Freedom-to-Operate Analysis for Middleton, Sullivan and Wiley</w:t>
      </w:r>
    </w:p>
    <w:p>
      <w:r>
        <w:t>PRIVILEGED AND CONFIDENTIAL. ATTORNEY WORK PRODUCT. PREPARED AT THE REQUEST OF COUNSEL FOR Middleton, Sullivan and Wiley. This report is a status communication only. It states no conclusion on infringement, validity, or enforceability, and it should not be read as clearance of any product or claim.</w:t>
      </w:r>
    </w:p>
    <w:p>
      <w:pPr>
        <w:pStyle w:val="Heading2"/>
      </w:pPr>
      <w:r>
        <w:t>Status summary</w:t>
      </w:r>
    </w:p>
    <w:p>
      <w:r>
        <w:t>The analysis is in its closing period. All references identified in the searches have been retrieved, and every reference we intend to treat in the final memorandum has been read in full rather than by abstract. The claim charts are complete for each of the four reference families we are carrying forward, and the last of them cleared internal review this week. What remains is drafting, a partner read, and delivery. I do not expect further searching unless the assumptions set out below change.</w:t>
      </w:r>
    </w:p>
    <w:p>
      <w:r>
        <w:t>Two items from the last report are now closed. The file history for the second family arrived in December and has been read against the issued claims; the amendment we were concerned about narrows the element we were worried about, not the one adjacent to it. The prosecution disclaimer question raised in the November call is resolved on the record as we have it, and the reasoning will appear in the memorandum rather than in this report, since it takes several pages to do honestly.</w:t>
      </w:r>
    </w:p>
    <w:p>
      <w:pPr>
        <w:pStyle w:val="Heading2"/>
      </w:pPr>
      <w:r>
        <w:t>Work completed this period</w:t>
      </w:r>
    </w:p>
    <w:p>
      <w:pPr>
        <w:pStyle w:val="ListBullet"/>
      </w:pPr>
      <w:r>
        <w:t>Element-by-element charting of the accused configuration against the independent claims of each carried-forward reference, with dependent claims charted only where the independent claim was not resolved on a single element.</w:t>
      </w:r>
    </w:p>
    <w:p>
      <w:pPr>
        <w:pStyle w:val="ListBullet"/>
      </w:pPr>
      <w:r>
        <w:t>Retrieval and reading of the file histories for the two families where the prosecution record bears on claim scope.</w:t>
      </w:r>
    </w:p>
    <w:p>
      <w:pPr>
        <w:pStyle w:val="ListBullet"/>
      </w:pPr>
      <w:r>
        <w:t>Family-level review of continuations and divisionals to confirm no pending application in the carried-forward families has claims broader than those charted. One family has a pending continuation; it is flagged under Risks below.</w:t>
      </w:r>
    </w:p>
    <w:p>
      <w:pPr>
        <w:pStyle w:val="ListBullet"/>
      </w:pPr>
      <w:r>
        <w:t>A second reader pass by Kelly Snyder on the charts for the first and third families, including a check of every element I marked as not met against the specification language rather than against the claim alone.</w:t>
      </w:r>
    </w:p>
    <w:p>
      <w:pPr>
        <w:pStyle w:val="ListBullet"/>
      </w:pPr>
      <w:r>
        <w:t>Consolidation of the search record: databases queried, date ranges, classification codes, and the terms used, so the scope of what was and was not searched is stated in the memorandum itself.</w:t>
      </w:r>
    </w:p>
    <w:p>
      <w:r>
        <w:t>Kelly Snyder disagreed with me on one element in the third family and she was right; the specification supports a broader reading than I had given it, and the chart now reflects hers. I mention it because it moved one reference from a clean non-overlap to a hedged one, and that change is visible in the memorandum's ordering.</w:t>
      </w:r>
    </w:p>
    <w:p>
      <w:pPr>
        <w:pStyle w:val="Heading2"/>
      </w:pPr>
      <w:r>
        <w:t>Upcoming work</w:t>
      </w:r>
    </w:p>
    <w:p>
      <w:r>
        <w:t>Drafting of the final freedom-to-operate memorandum is under way and is the only substantial task left. Heather Munoz will take the partner read, and any characterization of risk to your board or to your insurers should come from her rather than from this report; I do not write those sections. Following her review we will deliver the memorandum with the claim charts as appendices and the search record as an exhibit. If your team wants the charts in a different form for internal circulation, tell us before the read rather than after, since the appendix numbering is referenced throughout the text.</w:t>
      </w:r>
    </w:p>
    <w:p>
      <w:pPr>
        <w:pStyle w:val="Heading2"/>
      </w:pPr>
      <w:r>
        <w:t>Risks and open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Status</w:t>
            </w:r>
          </w:p>
        </w:tc>
        <w:tc>
          <w:tcPr>
            <w:tcW w:type="dxa" w:w="2880"/>
          </w:tcPr>
          <w:p>
            <w:r>
              <w:rPr>
                <w:b/>
              </w:rPr>
              <w:t>Effect if unresolved</w:t>
            </w:r>
          </w:p>
        </w:tc>
      </w:tr>
      <w:tr>
        <w:tc>
          <w:tcPr>
            <w:tcW w:type="dxa" w:w="2880"/>
          </w:tcPr>
          <w:p>
            <w:r>
              <w:t>Pending continuation in the fourth family</w:t>
            </w:r>
          </w:p>
        </w:tc>
        <w:tc>
          <w:tcPr>
            <w:tcW w:type="dxa" w:w="2880"/>
          </w:tcPr>
          <w:p>
            <w:r>
              <w:t>Claims not yet published in a form we can chart</w:t>
            </w:r>
          </w:p>
        </w:tc>
        <w:tc>
          <w:tcPr>
            <w:tcW w:type="dxa" w:w="2880"/>
          </w:tcPr>
          <w:p>
            <w:r>
              <w:t>Analysis is limited to claims as they exist on the record at the date of the memorandum; a later-issued claim is outside its scope.</w:t>
            </w:r>
          </w:p>
        </w:tc>
      </w:tr>
      <w:tr>
        <w:tc>
          <w:tcPr>
            <w:tcW w:type="dxa" w:w="2880"/>
          </w:tcPr>
          <w:p>
            <w:r>
              <w:t>Product configuration as described in the October specification packet</w:t>
            </w:r>
          </w:p>
        </w:tc>
        <w:tc>
          <w:tcPr>
            <w:tcW w:type="dxa" w:w="2880"/>
          </w:tcPr>
          <w:p>
            <w:r>
              <w:t>Assumed accurate and current</w:t>
            </w:r>
          </w:p>
        </w:tc>
        <w:tc>
          <w:tcPr>
            <w:tcW w:type="dxa" w:w="2880"/>
          </w:tcPr>
          <w:p>
            <w:r>
              <w:t>Any change to the charted elements requires re-charting, and the memorandum's conclusions do not carry to a changed configuration.</w:t>
            </w:r>
          </w:p>
        </w:tc>
      </w:tr>
      <w:tr>
        <w:tc>
          <w:tcPr>
            <w:tcW w:type="dxa" w:w="2880"/>
          </w:tcPr>
          <w:p>
            <w:r>
              <w:t>Foreign counterparts</w:t>
            </w:r>
          </w:p>
        </w:tc>
        <w:tc>
          <w:tcPr>
            <w:tcW w:type="dxa" w:w="2880"/>
          </w:tcPr>
          <w:p>
            <w:r>
              <w:t>Not searched</w:t>
            </w:r>
          </w:p>
        </w:tc>
        <w:tc>
          <w:tcPr>
            <w:tcW w:type="dxa" w:w="2880"/>
          </w:tcPr>
          <w:p>
            <w:r>
              <w:t>Memorandum is expressly limited to United States patents and published applications. Nothing in it speaks to any other jurisdiction.</w:t>
            </w:r>
          </w:p>
        </w:tc>
      </w:tr>
      <w:tr>
        <w:tc>
          <w:tcPr>
            <w:tcW w:type="dxa" w:w="2880"/>
          </w:tcPr>
          <w:p>
            <w:r>
              <w:t>Non-patent literature</w:t>
            </w:r>
          </w:p>
        </w:tc>
        <w:tc>
          <w:tcPr>
            <w:tcW w:type="dxa" w:w="2880"/>
          </w:tcPr>
          <w:p>
            <w:r>
              <w:t>Not searched</w:t>
            </w:r>
          </w:p>
        </w:tc>
        <w:tc>
          <w:tcPr>
            <w:tcW w:type="dxa" w:w="2880"/>
          </w:tcPr>
          <w:p>
            <w:r>
              <w:t>Scope limitation only; it does not bear on freedom to operate but is sometimes assumed to have been covered.</w:t>
            </w:r>
          </w:p>
        </w:tc>
      </w:tr>
    </w:tbl>
    <w:p>
      <w:r>
        <w:t>I flag the third and fourth rows because they are limitations of what was commissioned, not gaps in what was done. They will be stated in the memorandum on the first page, above the analysis, so that a reader who reads only the first page reads them.</w:t>
      </w:r>
    </w:p>
    <w:p>
      <w:pPr>
        <w:pStyle w:val="Heading2"/>
      </w:pPr>
      <w:r>
        <w:t>Budget</w:t>
      </w:r>
    </w:p>
    <w:p>
      <w:r>
        <w:t>Fees remain within the engagement budget of $113,500. The reading of the two file histories ran longer than estimated and the charting ran shorter, and the two have offset each other. I do not anticipate a supplemental request for the drafting and partner read. If the continuation noted above publishes claims before delivery and Middleton, Sullivan and Wiley asks us to chart them, that is additional work outside the current scope and we would quote it separately rather than absorb it quietly.</w:t>
      </w:r>
    </w:p>
    <w:p>
      <w:pPr>
        <w:pStyle w:val="Heading2"/>
      </w:pPr>
      <w:r>
        <w:t>Assumptions on which this report rests</w:t>
      </w:r>
    </w:p>
    <w:p>
      <w:pPr>
        <w:pStyle w:val="ListBullet"/>
      </w:pPr>
      <w:r>
        <w:t>The product configuration is as described in the specification packet provided by your engineering group; we have not independently verified it.</w:t>
      </w:r>
    </w:p>
    <w:p>
      <w:pPr>
        <w:pStyle w:val="ListBullet"/>
      </w:pPr>
      <w:r>
        <w:t>The searches are current as of their run dates, which are stated in the search record. Applications publishing after those dates are not captured.</w:t>
      </w:r>
    </w:p>
    <w:p>
      <w:pPr>
        <w:pStyle w:val="ListBullet"/>
      </w:pPr>
      <w:r>
        <w:t>The scope is United States patents and published applications only.</w:t>
      </w:r>
    </w:p>
    <w:p>
      <w:pPr>
        <w:pStyle w:val="ListBullet"/>
      </w:pPr>
      <w:r>
        <w:t>No opinion of counsel is expressed or implied by this report.</w:t>
      </w:r>
    </w:p>
    <w:p>
      <w:r>
        <w:t>Questions on the technical analysis should come to me directly. Questions on scope, privilege, or what any of this means for your position should go to Heather Munoz.</w:t>
      </w:r>
    </w:p>
    <w:p/>
    <w:p>
      <w:r>
        <w:t>_____________________________</w:t>
      </w:r>
    </w:p>
    <w:p>
      <w:r>
        <w:rPr>
          <w:b/>
        </w:rPr>
        <w:t>Richard Henderson</w:t>
      </w:r>
    </w:p>
    <w:p>
      <w:r>
        <w:t>Patent Agent</w:t>
      </w:r>
    </w:p>
    <w:p>
      <w:r>
        <w:t>Date: January 15, 2021</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Freedom-to-Operate Analysis for Middleton, Sullivan and Wiley</dc:title>
  <dc:subject/>
  <dc:creator>Richard Henderson</dc:creator>
  <cp:keywords/>
  <dc:description>generated by python-docx</dc:description>
  <cp:lastModifiedBy>Richard Henderson</cp:lastModifiedBy>
  <cp:revision>1</cp:revision>
  <dcterms:created xsi:type="dcterms:W3CDTF">2021-01-15T09:00:00Z</dcterms:created>
  <dcterms:modified xsi:type="dcterms:W3CDTF">2021-01-15T09:00:00Z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