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Privileged and confidential. Attorney work product. Prepared at the direction of counsel for the purpose of providing legal advice.</w:t>
      </w:r>
    </w:p>
    <w:p>
      <w:r>
        <w:t>Working session on the freedom-to-operate analysis for Middleton, Sullivan and Wiley. Minutes taken by Heather Munoz.</w:t>
      </w:r>
    </w:p>
    <w:p>
      <w:pPr>
        <w:pStyle w:val="Heading2"/>
      </w:pPr>
      <w:r>
        <w:t>Attendees</w:t>
      </w:r>
    </w:p>
    <w:p>
      <w:pPr>
        <w:pStyle w:val="ListBullet"/>
      </w:pPr>
      <w:r>
        <w:t>Heather Munoz, Partner, Prosecution (chair)</w:t>
      </w:r>
    </w:p>
    <w:p>
      <w:pPr>
        <w:pStyle w:val="ListBullet"/>
      </w:pPr>
      <w:r>
        <w:t>Richard Henderson, Patent Agent, Prosecution</w:t>
      </w:r>
    </w:p>
    <w:p>
      <w:pPr>
        <w:pStyle w:val="ListBullet"/>
      </w:pPr>
      <w:r>
        <w:t>Kelly Snyder, Associate, Prosecution</w:t>
      </w:r>
    </w:p>
    <w:p>
      <w:pPr>
        <w:pStyle w:val="ListBullet"/>
      </w:pPr>
      <w:r>
        <w:t>Barbara Blair, Director of Operations, Middleton, Sullivan and Wiley</w:t>
      </w:r>
    </w:p>
    <w:p>
      <w:pPr>
        <w:pStyle w:val="Heading2"/>
      </w:pPr>
      <w:r>
        <w:t>Discussion</w:t>
      </w:r>
    </w:p>
    <w:p>
      <w:r>
        <w:t>Richard Henderson walked the claim charts for the references he considers material, element by element, and stopped at each element where the agreed description neither plainly meets nor plainly avoids the language. That is the right place to stop and I said so. I asked him the question I always ask, which is what the claim would have to say for his answer to change. On most of the charts he had an answer. On one he did not, and that one is where the remaining work is.</w:t>
      </w:r>
    </w:p>
    <w:p>
      <w:r>
        <w:t>Kelly Snyder had read the prosecution history of the reference giving us trouble and found the amendment nobody had mentioned: the applicant narrowed the element during prosecution and stated a reason for doing it. That is the most useful document in the file. It does not resolve the question, and I am being careful not to write in these minutes that it does. What it does is move the analysis off claim scope and onto what the estoppel reaches, which is a different argument with a different answer.</w:t>
      </w:r>
    </w:p>
    <w:p>
      <w:r>
        <w:t>Barbara Blair asked the question a client is entitled to ask, which is whether we can tell them now that the device is clear. The answer is no, and I told her why rather than simply telling her no. We have charted against a description confirmed for the housing and not for the disposable element. Our cutoff means anything published since is outside this analysis. One construction question is open. Any one of those on its own is enough to keep a conclusion out of my mouth, and we have all three. She took that better than most clients do, and asked instead what would have to happen to close each one, which is the useful version of the question.</w:t>
      </w:r>
    </w:p>
    <w:p>
      <w:r>
        <w:t>On position: we are at about the middle of this matter and the charting is where I expected it to be. The open construction question is the one thing capable of consuming time we have not planned for. It will be Richard Henderson's assumption log rather than the charts that tells us how much, which is the argument for keeping the log current rather than reconstructing it at the end.</w:t>
      </w:r>
    </w:p>
    <w:p>
      <w:r>
        <w:t>Kelly Snyder asked for the docket dates before she asked anything else, as she does, and she was right to. The checkpoints for the remaining phases are now on the docket and confirmed back to me. Nothing in this matter gets agreed in a meeting and docketed afterward.</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Status</w:t>
            </w:r>
          </w:p>
        </w:tc>
      </w:tr>
      <w:tr>
        <w:tc>
          <w:tcPr>
            <w:tcW w:type="dxa" w:w="2880"/>
          </w:tcPr>
          <w:p>
            <w:r>
              <w:t>Confirm in writing that the disposable element is within the agreed device description</w:t>
            </w:r>
          </w:p>
        </w:tc>
        <w:tc>
          <w:tcPr>
            <w:tcW w:type="dxa" w:w="2880"/>
          </w:tcPr>
          <w:p>
            <w:r>
              <w:t>Barbara Blair</w:t>
            </w:r>
          </w:p>
        </w:tc>
        <w:tc>
          <w:tcPr>
            <w:tcW w:type="dxa" w:w="2880"/>
          </w:tcPr>
          <w:p>
            <w:r>
              <w:t>Open; blocking the second half of the charting</w:t>
            </w:r>
          </w:p>
        </w:tc>
      </w:tr>
      <w:tr>
        <w:tc>
          <w:tcPr>
            <w:tcW w:type="dxa" w:w="2880"/>
          </w:tcPr>
          <w:p>
            <w:r>
              <w:t>Complete claim charts for the remaining material references</w:t>
            </w:r>
          </w:p>
        </w:tc>
        <w:tc>
          <w:tcPr>
            <w:tcW w:type="dxa" w:w="2880"/>
          </w:tcPr>
          <w:p>
            <w:r>
              <w:t>Richard Henderson</w:t>
            </w:r>
          </w:p>
        </w:tc>
        <w:tc>
          <w:tcPr>
            <w:tcW w:type="dxa" w:w="2880"/>
          </w:tcPr>
          <w:p>
            <w:r>
              <w:t>In progress</w:t>
            </w:r>
          </w:p>
        </w:tc>
      </w:tr>
      <w:tr>
        <w:tc>
          <w:tcPr>
            <w:tcW w:type="dxa" w:w="2880"/>
          </w:tcPr>
          <w:p>
            <w:r>
              <w:t>Brief the prosecution history estoppel question on the narrowed element</w:t>
            </w:r>
          </w:p>
        </w:tc>
        <w:tc>
          <w:tcPr>
            <w:tcW w:type="dxa" w:w="2880"/>
          </w:tcPr>
          <w:p>
            <w:r>
              <w:t>Kelly Snyder</w:t>
            </w:r>
          </w:p>
        </w:tc>
        <w:tc>
          <w:tcPr>
            <w:tcW w:type="dxa" w:w="2880"/>
          </w:tcPr>
          <w:p>
            <w:r>
              <w:t>Opened at this meeting</w:t>
            </w:r>
          </w:p>
        </w:tc>
      </w:tr>
      <w:tr>
        <w:tc>
          <w:tcPr>
            <w:tcW w:type="dxa" w:w="2880"/>
          </w:tcPr>
          <w:p>
            <w:r>
              <w:t>Fix a construction position for the disputed element, or record why it stays open</w:t>
            </w:r>
          </w:p>
        </w:tc>
        <w:tc>
          <w:tcPr>
            <w:tcW w:type="dxa" w:w="2880"/>
          </w:tcPr>
          <w:p>
            <w:r>
              <w:t>Heather Munoz</w:t>
            </w:r>
          </w:p>
        </w:tc>
        <w:tc>
          <w:tcPr>
            <w:tcW w:type="dxa" w:w="2880"/>
          </w:tcPr>
          <w:p>
            <w:r>
              <w:t>Open</w:t>
            </w:r>
          </w:p>
        </w:tc>
      </w:tr>
      <w:tr>
        <w:tc>
          <w:tcPr>
            <w:tcW w:type="dxa" w:w="2880"/>
          </w:tcPr>
          <w:p>
            <w:r>
              <w:t>Docket the checkpoints for the analysis and drafting phases and confirm back</w:t>
            </w:r>
          </w:p>
        </w:tc>
        <w:tc>
          <w:tcPr>
            <w:tcW w:type="dxa" w:w="2880"/>
          </w:tcPr>
          <w:p>
            <w:r>
              <w:t>Kelly Snyder</w:t>
            </w:r>
          </w:p>
        </w:tc>
        <w:tc>
          <w:tcPr>
            <w:tcW w:type="dxa" w:w="2880"/>
          </w:tcPr>
          <w:p>
            <w:r>
              <w:t>Done at this meeting</w:t>
            </w:r>
          </w:p>
        </w:tc>
      </w:tr>
      <w:tr>
        <w:tc>
          <w:tcPr>
            <w:tcW w:type="dxa" w:w="2880"/>
          </w:tcPr>
          <w:p>
            <w:r>
              <w:t>Circulate the assumption log with the next set of charts</w:t>
            </w:r>
          </w:p>
        </w:tc>
        <w:tc>
          <w:tcPr>
            <w:tcW w:type="dxa" w:w="2880"/>
          </w:tcPr>
          <w:p>
            <w:r>
              <w:t>Richard Henderson</w:t>
            </w:r>
          </w:p>
        </w:tc>
        <w:tc>
          <w:tcPr>
            <w:tcW w:type="dxa" w:w="2880"/>
          </w:tcPr>
          <w:p>
            <w:r>
              <w:t>Open</w:t>
            </w:r>
          </w:p>
        </w:tc>
      </w:tr>
    </w:tbl>
    <w:p>
      <w:r>
        <w:t>Nothing in these minutes is a conclusion on infringement. The conclusions will be in the memorandum, stated after what was searched and what was assumed, and not before.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Hollowell Patent Group PLLC</w:t>
    </w:r>
  </w:p>
  <w:p>
    <w:r>
      <w:rPr>
        <w:sz w:val="18"/>
      </w:rPr>
      <w:t>www.hollowellpatent.com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Hollowell Patent Group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Freedom-to-Operate Analysis for Middleton, Sullivan and Wiley</dc:title>
  <dc:subject/>
  <dc:creator>Heather Munoz</dc:creator>
  <cp:keywords/>
  <dc:description>generated by python-docx</dc:description>
  <cp:lastModifiedBy>Heather Munoz</cp:lastModifiedBy>
  <cp:revision>1</cp:revision>
  <dcterms:created xsi:type="dcterms:W3CDTF">2020-08-22T09:00:00Z</dcterms:created>
  <dcterms:modified xsi:type="dcterms:W3CDTF">2020-08-22T09:00:00Z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