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Privileged and confidential. Attorney work product. Prepared at the direction of counsel for the purpose of providing legal advice.</w:t>
      </w:r>
    </w:p>
    <w:p>
      <w:r>
        <w:t>Working session on the freedom-to-operate analysis for Middleton, Sullivan and Wiley. Minutes taken by Heather Munoz.</w:t>
      </w:r>
    </w:p>
    <w:p>
      <w:pPr>
        <w:pStyle w:val="Heading2"/>
      </w:pPr>
      <w:r>
        <w:t>Attendees</w:t>
      </w:r>
    </w:p>
    <w:p>
      <w:pPr>
        <w:pStyle w:val="ListBullet"/>
      </w:pPr>
      <w:r>
        <w:t>Heather Munoz, Partner, Prosecution (chair)</w:t>
      </w:r>
    </w:p>
    <w:p>
      <w:pPr>
        <w:pStyle w:val="ListBullet"/>
      </w:pPr>
      <w:r>
        <w:t>Richard Henderson, Patent Agent, Prosecution</w:t>
      </w:r>
    </w:p>
    <w:p>
      <w:pPr>
        <w:pStyle w:val="ListBullet"/>
      </w:pPr>
      <w:r>
        <w:t>Kelly Snyder, Associate, Prosecution</w:t>
      </w:r>
    </w:p>
    <w:p>
      <w:pPr>
        <w:pStyle w:val="ListBullet"/>
      </w:pPr>
      <w:r>
        <w:t>Barbara Blair, Director of Operations, Middleton, Sullivan and Wiley</w:t>
      </w:r>
    </w:p>
    <w:p>
      <w:pPr>
        <w:pStyle w:val="Heading2"/>
      </w:pPr>
      <w:r>
        <w:t>Discussion</w:t>
      </w:r>
    </w:p>
    <w:p>
      <w:r>
        <w:t>The disposable element description was confirmed in writing and Richard Henderson has charted it. The charts are complete. I am recording that plainly because it is the first sentence in this matter I have been able to write without a condition attached to it.</w:t>
      </w:r>
    </w:p>
    <w:p>
      <w:r>
        <w:t>Kelly Snyder's estoppel brief resolves less than we hoped and more than I expected. The narrowing amendment reaches the element as the applicant argued it, which disposes of one construction we had been worried about. It does not reach the construction the client's device would need in order to avoid the claim. We know that because she read the argument in the file rather than the amendment alone, and I have adopted her reading. What it means for the memorandum is that one element carries a qualified conclusion and the others do not.</w:t>
      </w:r>
    </w:p>
    <w:p>
      <w:r>
        <w:t>I asked Richard Henderson what the claim would have to say for the qualified element to come back clean. He answered without hedging, which is what I wanted: the claim would have to recite the coupling as fixed rather than as removable, and it does not. The qualification stands, and it stands for a reason we can state to a board in one sentence.</w:t>
      </w:r>
    </w:p>
    <w:p>
      <w:r>
        <w:t>Barbara Blair asked whether the qualification could be softened for the audience that will read the memorandum. It cannot, and I told her why. A conclusion written without its limits is a conclusion the client cannot rely on and this firm cannot defend. The qualified sentence is the most valuable one in the document, not the weakest one. She accepted that and asked instead for a one-page summary that carries the qualification intact. That we will do, and I will draft it myself rather than delegate the compression, because compression is where qualifications go to die.</w:t>
      </w:r>
    </w:p>
    <w:p>
      <w:r>
        <w:t>Drafting is under way. The memorandum will state the search performed, the cutoff, the assumptions, and the limits before it states any conclusion, in that order. Anything published after the cutoff is outside this analysis, and the document will say so on its face rather than in a footnote. Distribution remains the client's decision and the client's privilege to waive; the point was made again and Barbara Blair will come back to us with the list.</w:t>
      </w:r>
    </w:p>
    <w:p>
      <w:r>
        <w:t>Docket: the remaining checkpoints, including the client review of the draft, are entered and confirmed. Kelly Snyder confirmed them back to me before the meeting closed, which is the only reason this paragraph is short.</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Status</w:t>
            </w:r>
          </w:p>
        </w:tc>
      </w:tr>
      <w:tr>
        <w:tc>
          <w:tcPr>
            <w:tcW w:type="dxa" w:w="2880"/>
          </w:tcPr>
          <w:p>
            <w:r>
              <w:t>Complete the draft memorandum, with limits and assumptions stated ahead of conclusions</w:t>
            </w:r>
          </w:p>
        </w:tc>
        <w:tc>
          <w:tcPr>
            <w:tcW w:type="dxa" w:w="2880"/>
          </w:tcPr>
          <w:p>
            <w:r>
              <w:t>Heather Munoz</w:t>
            </w:r>
          </w:p>
        </w:tc>
        <w:tc>
          <w:tcPr>
            <w:tcW w:type="dxa" w:w="2880"/>
          </w:tcPr>
          <w:p>
            <w:r>
              <w:t>In progress</w:t>
            </w:r>
          </w:p>
        </w:tc>
      </w:tr>
      <w:tr>
        <w:tc>
          <w:tcPr>
            <w:tcW w:type="dxa" w:w="2880"/>
          </w:tcPr>
          <w:p>
            <w:r>
              <w:t>Finalize the assumption log and reconcile it against the completed charts</w:t>
            </w:r>
          </w:p>
        </w:tc>
        <w:tc>
          <w:tcPr>
            <w:tcW w:type="dxa" w:w="2880"/>
          </w:tcPr>
          <w:p>
            <w:r>
              <w:t>Richard Henderson</w:t>
            </w:r>
          </w:p>
        </w:tc>
        <w:tc>
          <w:tcPr>
            <w:tcW w:type="dxa" w:w="2880"/>
          </w:tcPr>
          <w:p>
            <w:r>
              <w:t>In progress</w:t>
            </w:r>
          </w:p>
        </w:tc>
      </w:tr>
      <w:tr>
        <w:tc>
          <w:tcPr>
            <w:tcW w:type="dxa" w:w="2880"/>
          </w:tcPr>
          <w:p>
            <w:r>
              <w:t>Cite-check the estoppel section against the file history</w:t>
            </w:r>
          </w:p>
        </w:tc>
        <w:tc>
          <w:tcPr>
            <w:tcW w:type="dxa" w:w="2880"/>
          </w:tcPr>
          <w:p>
            <w:r>
              <w:t>Kelly Snyder</w:t>
            </w:r>
          </w:p>
        </w:tc>
        <w:tc>
          <w:tcPr>
            <w:tcW w:type="dxa" w:w="2880"/>
          </w:tcPr>
          <w:p>
            <w:r>
              <w:t>Open</w:t>
            </w:r>
          </w:p>
        </w:tc>
      </w:tr>
      <w:tr>
        <w:tc>
          <w:tcPr>
            <w:tcW w:type="dxa" w:w="2880"/>
          </w:tcPr>
          <w:p>
            <w:r>
              <w:t>Draft the one-page summary carrying the qualification intact</w:t>
            </w:r>
          </w:p>
        </w:tc>
        <w:tc>
          <w:tcPr>
            <w:tcW w:type="dxa" w:w="2880"/>
          </w:tcPr>
          <w:p>
            <w:r>
              <w:t>Heather Munoz</w:t>
            </w:r>
          </w:p>
        </w:tc>
        <w:tc>
          <w:tcPr>
            <w:tcW w:type="dxa" w:w="2880"/>
          </w:tcPr>
          <w:p>
            <w:r>
              <w:t>Opened at this meeting</w:t>
            </w:r>
          </w:p>
        </w:tc>
      </w:tr>
      <w:tr>
        <w:tc>
          <w:tcPr>
            <w:tcW w:type="dxa" w:w="2880"/>
          </w:tcPr>
          <w:p>
            <w:r>
              <w:t>Confirm the distribution list for the memorandum and the privilege consequences of it</w:t>
            </w:r>
          </w:p>
        </w:tc>
        <w:tc>
          <w:tcPr>
            <w:tcW w:type="dxa" w:w="2880"/>
          </w:tcPr>
          <w:p>
            <w:r>
              <w:t>Barbara Blair</w:t>
            </w:r>
          </w:p>
        </w:tc>
        <w:tc>
          <w:tcPr>
            <w:tcW w:type="dxa" w:w="2880"/>
          </w:tcPr>
          <w:p>
            <w:r>
              <w:t>Open</w:t>
            </w:r>
          </w:p>
        </w:tc>
      </w:tr>
      <w:tr>
        <w:tc>
          <w:tcPr>
            <w:tcW w:type="dxa" w:w="2880"/>
          </w:tcPr>
          <w:p>
            <w:r>
              <w:t>Confirm the remaining docket checkpoints back to the file</w:t>
            </w:r>
          </w:p>
        </w:tc>
        <w:tc>
          <w:tcPr>
            <w:tcW w:type="dxa" w:w="2880"/>
          </w:tcPr>
          <w:p>
            <w:r>
              <w:t>Kelly Snyder</w:t>
            </w:r>
          </w:p>
        </w:tc>
        <w:tc>
          <w:tcPr>
            <w:tcW w:type="dxa" w:w="2880"/>
          </w:tcPr>
          <w:p>
            <w:r>
              <w:t>Done at this meeting</w:t>
            </w:r>
          </w:p>
        </w:tc>
      </w:tr>
    </w:tbl>
    <w:p>
      <w:r>
        <w:t>These minutes are not the opinion. The opinion is the memorandum, and it has not issued.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Freedom-to-Operate Analysis for Middleton, Sullivan and Wiley</dc:title>
  <dc:subject/>
  <dc:creator>Heather Munoz</dc:creator>
  <cp:keywords/>
  <dc:description>generated by python-docx</dc:description>
  <cp:lastModifiedBy>Heather Munoz</cp:lastModifiedBy>
  <cp:revision>1</cp:revision>
  <dcterms:created xsi:type="dcterms:W3CDTF">2020-11-20T09:00:00Z</dcterms:created>
  <dcterms:modified xsi:type="dcterms:W3CDTF">2020-11-20T09:00:00Z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