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Heather Munoz, Amanda Schwartz</w:t>
      </w:r>
    </w:p>
    <w:p>
      <w:r>
        <w:t>Cc: Sharon Woods</w:t>
      </w:r>
    </w:p>
    <w:p>
      <w:r>
        <w:t>From: Kelly Snyder</w:t>
      </w:r>
    </w:p>
    <w:p>
      <w:r>
        <w:t>Re: Kickoff, Patent Portfolio Review for Odonnell Inc</w:t>
      </w:r>
    </w:p>
    <w:p>
      <w:r>
        <w:t>Privileged and confidential. Attorney work product.</w:t>
      </w:r>
    </w:p>
    <w:p>
      <w:r>
        <w:t>The letter is countersigned. Our client is Odonnell Inc and our contact is Gary Smith, General Manager. Work commences May 13, 2019 and the review runs roughly seven months. The objective is narrow and I would like it to stay that way: for every family in the portfolio, establish what is actually on file, what the claims actually cover against the products the client designates, what options remain open, and by what date each option closes. Nothing goes out as a conclusion until the record carries it. Below is how the work divides and what happens first.</w:t>
      </w:r>
    </w:p>
    <w:p>
      <w:r>
        <w:t>One framing note before the workstreams. This is a review, not a rescue. We were not brought in because something has gone wrong, and the temptation in a portfolio review is to find something in order to justify the exercise. Resist it. The deliverable is an accurate account of the portfolio, family by family, and an accurate account is allowed to conclude that a family is in good order. The scope is fixed by the letter: no new applications, no third-party validity or infringement work, no freedom-to-operate. If the record pulls you toward any of those, stop and bring it to Heather Munoz. It gets added by an amendment or it does not get done.</w:t>
      </w:r>
    </w:p>
    <w:p>
      <w:pPr>
        <w:pStyle w:val="ListBullet"/>
      </w:pPr>
      <w:r>
        <w:t>File histories. Pull the official file for every family, reconstruct the prosecution record, and confirm the chain of title and recorded assignments. Gaps get listed, not filled by inference. I own this.</w:t>
      </w:r>
    </w:p>
    <w:p>
      <w:pPr>
        <w:pStyle w:val="ListBullet"/>
      </w:pPr>
      <w:r>
        <w:t>Docket reconstruction. Every date in the portfolio, entered, confirmed, and cross-checked against what the client believes is docketed. Where the two disagree, ours governs until the file says otherwise. Sharon Woods owns this and it is the workstream that gates everything else.</w:t>
      </w:r>
    </w:p>
    <w:p>
      <w:pPr>
        <w:pStyle w:val="ListBullet"/>
      </w:pPr>
      <w:r>
        <w:t>Claim mapping. Claim-by-claim comparison against the product designations, family by family, with the failure modes called out rather than smoothed over. Amanda Schwartz owns this.</w:t>
      </w:r>
    </w:p>
    <w:p>
      <w:pPr>
        <w:pStyle w:val="ListBullet"/>
      </w:pPr>
      <w:r>
        <w:t>Family-level position. Where continuation and divisional practice remains available, whether the family reads as one argument or a stack of unrelated files, and what a reasonable next filing would be. Heather Munoz owns this and signs the findings.</w:t>
      </w:r>
    </w:p>
    <w:p>
      <w:pPr>
        <w:pStyle w:val="ListBullet"/>
      </w:pPr>
      <w:r>
        <w:t>Client reporting. Short written updates against the matter docket, plus the periodic report to Gary Smith. I own this.</w:t>
      </w:r>
    </w:p>
    <w:p>
      <w:r>
        <w:t>Next steps. I send the document request to the client this week and I want it answered in writing, not on a call. Sharon Woods opens the docket the day work commences and circulates the first date list; if anything in it surprises you, say so that week and not in September. Amanda Schwartz does not start the claim mapping until the file histories for a family are complete, because mapping against a record we have not finished reading is how a review produces a confident wrong answer. Heather Munoz reads everything before it reaches Gary Smith.</w:t>
      </w:r>
    </w:p>
    <w:p>
      <w:r>
        <w:t>On the client side, expect the document request to come back incomplete the first time. It usually does, and it is not evidence of anything except that the materials sit with several people. We ask twice, in writing, and we do not treat an absent document as a missing document until we have looked in the official file ourselves. What we cannot find in either place gets listed as a gap in the findings, with the search we ran, so the reader knows the limits of what we looked at.</w:t>
      </w:r>
    </w:p>
    <w:p>
      <w:r>
        <w:t>Two standing rules for this matter. Flag your own uncertainty in the internal file rather than waiting for it to resolve, and put every client instruction that touches a date in writing back to them. The matter folder is restricted to the four of us and the Managing Partner. Keep it that way.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Patent Portfolio Review for Odonnell Inc</dc:title>
  <dc:subject/>
  <dc:creator>Kelly Snyder</dc:creator>
  <cp:keywords/>
  <dc:description>generated by python-docx</dc:description>
  <cp:lastModifiedBy>Kelly Snyder</cp:lastModifiedBy>
  <cp:revision>1</cp:revision>
  <dcterms:created xsi:type="dcterms:W3CDTF">2019-05-16T09:00:00Z</dcterms:created>
  <dcterms:modified xsi:type="dcterms:W3CDTF">2019-05-16T09:00:00Z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