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Patent Portfolio Review</w:t>
      </w:r>
    </w:p>
    <w:p>
      <w:r>
        <w:t>Prepared for Odonnell Inc by Kelly Snyder, Patent Agent. Reviewed by Heather Munoz, Partner. Privileged and confidential; prepared for the client and not for circulation outside the company.</w:t>
      </w:r>
    </w:p>
    <w:p>
      <w:pPr>
        <w:pStyle w:val="Heading2"/>
      </w:pPr>
      <w:r>
        <w:t>Summary</w:t>
      </w:r>
    </w:p>
    <w:p>
      <w:r>
        <w:t>The review is at its midpoint and is where it should be. The portfolio is fully inventoried and docketed, the file histories are reconstructed for all but two families, and the claim mapping is complete or substantially complete for the families whose records are closed. Two items are open that we would not describe as routine: one recording gap in the earliest family, and a small number of docket entries on which our record and the schedule kept before this engagement disagree. Both are being worked, neither is near-term, and both are described below rather than folded into a general assurance. Nothing in this report is a finding. The findings are written at the end of the review, organized by family, and they will carry the record behind them.</w:t>
      </w:r>
    </w:p>
    <w:p>
      <w:pPr>
        <w:pStyle w:val="Heading2"/>
      </w:pPr>
      <w:r>
        <w:t>Accomplishments This Period</w:t>
      </w:r>
    </w:p>
    <w:p>
      <w:r>
        <w:t>The remaining file histories arrived and were reconstructed, which closes the phase in which we were reading rather than analyzing. Chain of title is now confirmed on every family except the earliest, where one recorded instrument is still missing from both our copy of the file and the materials Odonnell Inc has been able to locate.</w:t>
      </w:r>
    </w:p>
    <w:p>
      <w:r>
        <w:t>Amanda Schwartz completed the claim-by-claim comparison for the families with closed records and resolved the mismatch flagged at the last working session. The mismatch was in the product designation and not in the claims: the designation described a configuration the company no longer ships. That is worth stating precisely, because a review that assumed the claims were stale would have recommended work you do not need.</w:t>
      </w:r>
    </w:p>
    <w:p>
      <w:r>
        <w:t>Docketing completed a second pass over every date in the portfolio. Every entry has now been entered, confirmed by a second person, and cross-checked against the official record. The disputed entries are enumerated in our working file and will be reported to you in writing, individually, as each is resolved.</w:t>
      </w:r>
    </w:p>
    <w:p>
      <w:r>
        <w:t>Heather Munoz has begun drafting the family-level positions for the families whose mapping is complete. Those drafts are internal until she is satisfied that each one holds together across the family rather than file by file. Her standing objection to a portfolio review is that it can produce a stack of individually defensible files that do not amount to an argument, and the drafts are structured to make that failure visible if it is there.</w:t>
      </w:r>
    </w:p>
    <w:p>
      <w:r>
        <w:t>Also this period: the working session was held and its minutes circulated the same day, and the interim briefing was delivered to your office in the form requested. Both are marked privileged. The action items from the session are carried in our working file with owners and are reported against here rather than tracked separately, so that there is one record of this matter and not two.</w:t>
      </w:r>
    </w:p>
    <w:p>
      <w:pPr>
        <w:pStyle w:val="Heading2"/>
      </w:pPr>
      <w:r>
        <w:t>Upcoming Work</w:t>
      </w:r>
    </w:p>
    <w:p>
      <w:r>
        <w:t>The next period is analysis rather than assembly. We will complete the last two file histories and the mapping that depends on them; finish the reconciliation of disputed docket entries against the official record; and complete the family-level positions, including where continuation or divisional practice remains available and the date by which each option closes. We will also prepare the one-page summary you asked for, on the understanding stated at the session: it sits in front of the findings and is not a substitute for them.</w:t>
      </w:r>
    </w:p>
    <w:p>
      <w:r>
        <w:t>We continue to need the remaining product designations confirmed in writing. The mapping we have done rests on the designations we have; where a designation is unconfirmed, the analysis for that family carries an assumption, and we will mark it rather than let it disappear into a conclusion.</w:t>
      </w:r>
    </w:p>
    <w:p>
      <w:pPr>
        <w:pStyle w:val="Heading2"/>
      </w:pPr>
      <w:r>
        <w:t>Risks</w:t>
      </w:r>
    </w:p>
    <w:p>
      <w:r>
        <w:t>The recording gap in the earliest family is the item we watch. If the instrument was never recorded, the position is fixable and the fix is procedural, but the fix has a cost and it belongs to you to authorize. We are not yet in a position to say which case we are in, and we will not say so until the record supports it.</w:t>
      </w:r>
    </w:p>
    <w:p>
      <w:r>
        <w:t>The docket disagreement is contained but not closed. We are working from the earlier date in every disputed case, which is conservative by design; being early costs effort, and the alternative error is not one this firm accepts. We do not expect the reconciliation to move anything into the near term, and we will tell you in writing if it does, that week.</w:t>
      </w:r>
    </w:p>
    <w:p>
      <w:r>
        <w:t>The schedule assumes the remaining file materials reach us as requested and the outstanding designations are confirmed in the next period. If either slips, the analysis phase compresses against the same end, and we would rather move the date than thin the review. Amanda Schwartz and Heather Munoz are both carrying other matters, and Heather Munoz reads every family-level position before it leaves the firm, which is a deliberate constraint on how fast the last stage can run. Questions on any of the above can come to me directly; a written question against the matter docket is answered faster than a call, and both of us have the answer afterward.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Patent Portfolio Review for Odonnell Inc</dc:title>
  <dc:subject/>
  <dc:creator>Kelly Snyder</dc:creator>
  <cp:keywords/>
  <dc:description>generated by python-docx</dc:description>
  <cp:lastModifiedBy>Kelly Snyder</cp:lastModifiedBy>
  <cp:revision>1</cp:revision>
  <dcterms:created xsi:type="dcterms:W3CDTF">2019-08-27T09:00:00Z</dcterms:created>
  <dcterms:modified xsi:type="dcterms:W3CDTF">2019-08-27T09:00:00Z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