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Patent Portfolio Review for Odonnell Inc</w:t>
      </w:r>
    </w:p>
    <w:p>
      <w:r>
        <w:t>Privileged and confidential. Attorney work product. Prepared by Heather Munoz, Partner, and circulated to the attendees the day of the session. These minutes record what was discussed and what was assigned. They are not findings, and nothing recorded here should be read as our conclusion on any family.</w:t>
      </w:r>
    </w:p>
    <w:p>
      <w:pPr>
        <w:pStyle w:val="ListBullet"/>
      </w:pPr>
      <w:r>
        <w:t>Heather Munoz, Partner, Hollowell Patent Group PLLC (chair, minutes)</w:t>
      </w:r>
    </w:p>
    <w:p>
      <w:pPr>
        <w:pStyle w:val="ListBullet"/>
      </w:pPr>
      <w:r>
        <w:t>Kelly Snyder, Patent Agent, Hollowell Patent Group PLLC</w:t>
      </w:r>
    </w:p>
    <w:p>
      <w:pPr>
        <w:pStyle w:val="ListBullet"/>
      </w:pPr>
      <w:r>
        <w:t>Amanda Schwartz, Associate, Hollowell Patent Group PLLC</w:t>
      </w:r>
    </w:p>
    <w:p>
      <w:pPr>
        <w:pStyle w:val="ListBullet"/>
      </w:pPr>
      <w:r>
        <w:t>Gary Smith, General Manager, Odonnell Inc</w:t>
      </w:r>
    </w:p>
    <w:p>
      <w:r>
        <w:t>Kelly Snyder opened with the state of the record. The file histories are now reconstructed for the substantial majority of the families, and the chain of title is confirmed on all of them but one, where a recorded instrument is missing from the earliest family. She was clear that the gap is a gap and not yet a defect: the recording may be absent, the copy may simply be elsewhere, and until we have looked in both places we are not entitled to say which. The item is assigned below and it stays open until the file, not the calendar, closes it.</w:t>
      </w:r>
    </w:p>
    <w:p>
      <w:r>
        <w:t>Amanda Schwartz presented the claim mapping in its current state. Two families map against the designated products without difficulty. A third does not, and she said so plainly rather than deferring it: the claims read on a configuration the file assumes and the product designation does not describe, and she flagged that she is not yet certain which side of that mismatch is stale. I asked her the question I always ask, which is what the claim would have to say for her answer to change. She could state it, which is the useful signal here; the analysis is not finished, but it is not confused.</w:t>
      </w:r>
    </w:p>
    <w:p>
      <w:r>
        <w:t>Gary Smith asked whether the review is on track and what the firm considers at risk. Kelly Snyder answered that the work is where it should be at this point and that the one item she would not characterize as routine is the docket disagreement, where the schedule kept before this engagement and our own docket do not agree on a small number of entries. We are working from the earlier date in every disputed case. Gary Smith asked what happens if the earlier date proves to be the wrong one; the answer is that we will have been early, which costs money, whereas the reverse costs the family. He accepted that and asked that the reconciliation be reported to him in writing when it is complete rather than summarized on a call.</w:t>
      </w:r>
    </w:p>
    <w:p>
      <w:r>
        <w:t>The last item was the shape of the findings. Gary Smith asked for something a board can read. I said the findings will be organized by family and will carry the reasoning rather than bury it, and that a one-page summary can sit in front of them, but that the summary will not be the deliverable and should not be forwarded as though it were. The written analysis for Odonnell Inc will be marked privileged. He agreed to keep circulation inside the company.</w:t>
      </w:r>
    </w:p>
    <w:tbl>
      <w:tblPr>
        <w:tblStyle w:val="TableGrid"/>
        <w:tblW w:type="auto" w:w="0"/>
        <w:tblLook w:firstColumn="1" w:firstRow="1" w:lastColumn="0" w:lastRow="0" w:noHBand="0" w:noVBand="1" w:val="04A0"/>
      </w:tblPr>
      <w:tblGrid>
        <w:gridCol w:w="4320"/>
        <w:gridCol w:w="4320"/>
      </w:tblGrid>
      <w:tr>
        <w:tc>
          <w:tcPr>
            <w:tcW w:type="dxa" w:w="4320"/>
          </w:tcPr>
          <w:p>
            <w:r>
              <w:rPr>
                <w:b/>
              </w:rPr>
              <w:t>Action item</w:t>
            </w:r>
          </w:p>
        </w:tc>
        <w:tc>
          <w:tcPr>
            <w:tcW w:type="dxa" w:w="4320"/>
          </w:tcPr>
          <w:p>
            <w:r>
              <w:rPr>
                <w:b/>
              </w:rPr>
              <w:t>Owner</w:t>
            </w:r>
          </w:p>
        </w:tc>
      </w:tr>
      <w:tr>
        <w:tc>
          <w:tcPr>
            <w:tcW w:type="dxa" w:w="4320"/>
          </w:tcPr>
          <w:p>
            <w:r>
              <w:t>Locate the missing assignment record for the earliest family, in our files and in the client's, and close the recording gap or document it as a defect</w:t>
            </w:r>
          </w:p>
        </w:tc>
        <w:tc>
          <w:tcPr>
            <w:tcW w:type="dxa" w:w="4320"/>
          </w:tcPr>
          <w:p>
            <w:r>
              <w:t>Kelly Snyder</w:t>
            </w:r>
          </w:p>
        </w:tc>
      </w:tr>
      <w:tr>
        <w:tc>
          <w:tcPr>
            <w:tcW w:type="dxa" w:w="4320"/>
          </w:tcPr>
          <w:p>
            <w:r>
              <w:t>Resolve the claim-to-product mismatch in the third family; state which side is stale and on what record</w:t>
            </w:r>
          </w:p>
        </w:tc>
        <w:tc>
          <w:tcPr>
            <w:tcW w:type="dxa" w:w="4320"/>
          </w:tcPr>
          <w:p>
            <w:r>
              <w:t>Amanda Schwartz</w:t>
            </w:r>
          </w:p>
        </w:tc>
      </w:tr>
      <w:tr>
        <w:tc>
          <w:tcPr>
            <w:tcW w:type="dxa" w:w="4320"/>
          </w:tcPr>
          <w:p>
            <w:r>
              <w:t>Confirm the remaining product designations in writing</w:t>
            </w:r>
          </w:p>
        </w:tc>
        <w:tc>
          <w:tcPr>
            <w:tcW w:type="dxa" w:w="4320"/>
          </w:tcPr>
          <w:p>
            <w:r>
              <w:t>Gary Smith</w:t>
            </w:r>
          </w:p>
        </w:tc>
      </w:tr>
      <w:tr>
        <w:tc>
          <w:tcPr>
            <w:tcW w:type="dxa" w:w="4320"/>
          </w:tcPr>
          <w:p>
            <w:r>
              <w:t>Complete the reconciliation of disputed docket entries against the official record and report the result in writing</w:t>
            </w:r>
          </w:p>
        </w:tc>
        <w:tc>
          <w:tcPr>
            <w:tcW w:type="dxa" w:w="4320"/>
          </w:tcPr>
          <w:p>
            <w:r>
              <w:t>Kelly Snyder</w:t>
            </w:r>
          </w:p>
        </w:tc>
      </w:tr>
      <w:tr>
        <w:tc>
          <w:tcPr>
            <w:tcW w:type="dxa" w:w="4320"/>
          </w:tcPr>
          <w:p>
            <w:r>
              <w:t>Draft the family-level positions once the claim mapping is complete</w:t>
            </w:r>
          </w:p>
        </w:tc>
        <w:tc>
          <w:tcPr>
            <w:tcW w:type="dxa" w:w="4320"/>
          </w:tcPr>
          <w:p>
            <w:r>
              <w:t>Heather Munoz</w:t>
            </w:r>
          </w:p>
        </w:tc>
      </w:tr>
      <w:tr>
        <w:tc>
          <w:tcPr>
            <w:tcW w:type="dxa" w:w="4320"/>
          </w:tcPr>
          <w:p>
            <w:r>
              <w:t>Set the agenda and date for the next working session</w:t>
            </w:r>
          </w:p>
        </w:tc>
        <w:tc>
          <w:tcPr>
            <w:tcW w:type="dxa" w:w="4320"/>
          </w:tcPr>
          <w:p>
            <w:r>
              <w:t>Heather Munoz</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Patent Portfolio Review for Odonnell Inc</dc:title>
  <dc:subject/>
  <dc:creator>Heather Munoz</dc:creator>
  <cp:keywords/>
  <dc:description>generated by python-docx</dc:description>
  <cp:lastModifiedBy>Heather Munoz</cp:lastModifiedBy>
  <cp:revision>1</cp:revision>
  <dcterms:created xsi:type="dcterms:W3CDTF">2019-08-06T09:00:00Z</dcterms:created>
  <dcterms:modified xsi:type="dcterms:W3CDTF">2019-08-06T09:00:00Z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