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Richard Henderson</w:t>
        <w:br/>
        <w:t>From: David Chang</w:t>
        <w:br/>
        <w:t>Re: Licensing diligence for Price-Henson, kickoff</w:t>
        <w:br/>
        <w:t>Privileged and confidential. Attorney work product. Do not circulate outside the firm.</w:t>
      </w:r>
    </w:p>
    <w:p>
      <w:r>
        <w:t>We are on the clock as of March 14, 2025, so here is how I want to run it. The object of this matter is narrow and I want us to hold it there: tell Price-Henson whether the licensor can grant what the term sheet says it will grant, what comes attached to it, and what the claims actually reach. That is the whole engagement. The engagement letter draws that line deliberately and I have no interest in stepping over it. If someone asks us for freedom-to-operate in the middle of a call, the answer is that we will scope it separately, and then we will actually scope it separately.</w:t>
      </w:r>
    </w:p>
    <w:p>
      <w:r>
        <w:t>Tiffany Munoz is our contact and the only person at Price-Henson who tasks us. If something that looks like a new instruction arrives from anyone else on their side, it comes to me before we act on it. That is not politics. It is that a diligence scope grows by accident more often than by decision. She is the CFO, she is going to ask what a given question is costing her, and I would like us to be able to answer that without checking first.</w:t>
      </w:r>
    </w:p>
    <w:p>
      <w:pPr>
        <w:pStyle w:val="Heading1"/>
      </w:pPr>
      <w:r>
        <w:t>Workstreams</w:t>
      </w:r>
    </w:p>
    <w:p>
      <w:pPr>
        <w:pStyle w:val="ListBullet"/>
      </w:pPr>
      <w:r>
        <w:t>Chain of title. I have the recorded assignment list for the eleven families in the term sheet and it is not clean. There are two families where an inventor assignment appears to have been recorded after the first continuation was filed, or not recorded at all. Richard Henderson, start here. If title is broken the rest of the analysis is decoration.</w:t>
      </w:r>
    </w:p>
    <w:p>
      <w:pPr>
        <w:pStyle w:val="ListBullet"/>
      </w:pPr>
      <w:r>
        <w:t>File wrappers. Read from Patent Center for now, but order the certified copies early for anything we expect to be load-bearing. I do not want to be waiting on a certified set the week we are trying to finalize a report.</w:t>
      </w:r>
    </w:p>
    <w:p>
      <w:pPr>
        <w:pStyle w:val="ListBullet"/>
      </w:pPr>
      <w:r>
        <w:t>Encumbrances. Security interests of record, prior exclusive grants, fields of use already carved out, and government interest. At least two of these families read like they came out of federally funded work. If a Bayh-Dole obligation is attached, the client needs to know before it signs, not after.</w:t>
      </w:r>
    </w:p>
    <w:p>
      <w:pPr>
        <w:pStyle w:val="ListBullet"/>
      </w:pPr>
      <w:r>
        <w:t>Claim mapping. We need product descriptions from their engineers, not from their marketing. I will run those interviews and I will keep running them until the disclosure is complete. Expect me to be a nuisance about it.</w:t>
      </w:r>
    </w:p>
    <w:p>
      <w:pPr>
        <w:pStyle w:val="ListBullet"/>
      </w:pPr>
      <w:r>
        <w:t>Docket. Every annuity and every statutory date we find goes on the docket the day we find it, ours to keep or not, and we reconcile against the licensor's docket rather than trusting it.</w:t>
      </w:r>
    </w:p>
    <w:p>
      <w:pPr>
        <w:pStyle w:val="Heading1"/>
      </w:pPr>
      <w:r>
        <w:t>Next steps</w:t>
      </w:r>
    </w:p>
    <w:p>
      <w:pPr>
        <w:pStyle w:val="ListBullet"/>
      </w:pPr>
      <w:r>
        <w:t>I send the document request to Tiffany Munoz this week: term sheet, the funding agreements if they exist, and the licensor's own docket for all eleven families.</w:t>
      </w:r>
    </w:p>
    <w:p>
      <w:pPr>
        <w:pStyle w:val="ListBullet"/>
      </w:pPr>
      <w:r>
        <w:t>Richard Henderson pulls the assignment records for the full set and gives me the title picture, gaps included, by our next working session.</w:t>
      </w:r>
    </w:p>
    <w:p>
      <w:pPr>
        <w:pStyle w:val="ListBullet"/>
      </w:pPr>
      <w:r>
        <w:t>I schedule the first round of inventor interviews and circulate the family list with an owner against each one.</w:t>
      </w:r>
    </w:p>
    <w:p>
      <w:pPr>
        <w:pStyle w:val="ListBullet"/>
      </w:pPr>
      <w:r>
        <w:t>We open the matter on the docket and mirror in every date we have so far, flagged as unverified until we have confirmed it against the record ourselves.</w:t>
      </w:r>
    </w:p>
    <w:p>
      <w:r>
        <w:t>One request, and it is the only thing in this memo I care about more than the schedule. Write down what you assumed, every time, in the same breath as the conclusion. Some board is going to read this report and somebody's counsel may go at it afterward, and the assumption is the part they go at first. I would rather the report be dull and checkable than smooth and indefensible. If you reach a conclusion you cannot state the assumption for, that is not a conclusion yet, and I would rather hear about it at the working session than read it in a draft.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Licensing Diligence for Price-Henson</dc:title>
  <dc:subject/>
  <dc:creator>David Chang</dc:creator>
  <cp:keywords/>
  <dc:description>generated by python-docx</dc:description>
  <cp:lastModifiedBy>David Chang</cp:lastModifiedBy>
  <cp:revision>1</cp:revision>
  <dcterms:created xsi:type="dcterms:W3CDTF">2025-03-17T09:00:00Z</dcterms:created>
  <dcterms:modified xsi:type="dcterms:W3CDTF">2025-03-17T09:00:00Z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