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Status report on the licensing diligence for Price-Henson. Prepared by David Chang, Patent Agent. Privileged and confidential; prepared for the client in anticipation of a transaction.</w:t>
      </w:r>
    </w:p>
    <w:p>
      <w:pPr>
        <w:pStyle w:val="Heading1"/>
      </w:pPr>
      <w:r>
        <w:t>Summary</w:t>
      </w:r>
    </w:p>
    <w:p>
      <w:r>
        <w:t>The engagement is at its midpoint and on schedule. Title work on the eleven families in the proposed grant is complete in substance: nine chains are clean of record, and two carry recording defects that we believe are curable but have not yet confirmed as cured. The encumbrance review is complete as to the record and open as to two categories of document the licensor has not yet produced. Claim analysis is underway. Nothing we have found to date would lead us to advise Price-Henson against the transaction. Two of the items under Risks below could change that, and we would rather name them plainly at the midpoint than qualify a conclusion at the end.</w:t>
      </w:r>
    </w:p>
    <w:p>
      <w:pPr>
        <w:pStyle w:val="Heading1"/>
      </w:pPr>
      <w:r>
        <w:t>Completed this period</w:t>
      </w:r>
    </w:p>
    <w:p>
      <w:pPr>
        <w:pStyle w:val="ListBullet"/>
      </w:pPr>
      <w:r>
        <w:t>Chain of title reviewed for all eleven families in the proposed grant, from each named inventor's assignment through every recorded transfer.</w:t>
      </w:r>
    </w:p>
    <w:p>
      <w:pPr>
        <w:pStyle w:val="ListBullet"/>
      </w:pPr>
      <w:r>
        <w:t>Two title defects identified and characterized. In both, the executed assignment appears to exist but is not of record. We have asked the licensor's counsel to produce the executed originals in writing.</w:t>
      </w:r>
    </w:p>
    <w:p>
      <w:pPr>
        <w:pStyle w:val="ListBullet"/>
      </w:pPr>
      <w:r>
        <w:t>File wrappers obtained and read for every issued patent in the set, with certified copies ordered and on file for the families we expect to be load-bearing.</w:t>
      </w:r>
    </w:p>
    <w:p>
      <w:pPr>
        <w:pStyle w:val="ListBullet"/>
      </w:pPr>
      <w:r>
        <w:t>Encumbrance search of the record completed. Three families disclose federal funding, one is subject to a prior exclusive grant in a defined field of use, and no security interest of record encumbers any family in the set.</w:t>
      </w:r>
    </w:p>
    <w:p>
      <w:pPr>
        <w:pStyle w:val="ListBullet"/>
      </w:pPr>
      <w:r>
        <w:t>Two rounds of inventor and engineer interviews completed, producing the product descriptions that Richard Henderson is now reading the claims against.</w:t>
      </w:r>
    </w:p>
    <w:p>
      <w:pPr>
        <w:pStyle w:val="ListBullet"/>
      </w:pPr>
      <w:r>
        <w:t>Annuity and maintenance status recorded for every family, with each next statutory window on our docket and reconciled against the licensor's own.</w:t>
      </w:r>
    </w:p>
    <w:p>
      <w:pPr>
        <w:pStyle w:val="Heading1"/>
      </w:pPr>
      <w:r>
        <w:t>Upcoming work</w:t>
      </w:r>
    </w:p>
    <w:p>
      <w:pPr>
        <w:pStyle w:val="ListBullet"/>
      </w:pPr>
      <w:r>
        <w:t>Claim charts for the independent claims that read on the planned product, and a written construction note for the two claims whose prosecution history narrowed the terms at issue.</w:t>
      </w:r>
    </w:p>
    <w:p>
      <w:pPr>
        <w:pStyle w:val="ListBullet"/>
      </w:pPr>
      <w:r>
        <w:t>Review of the federal funding agreements once produced, to confirm the scope of the license the government retained.</w:t>
      </w:r>
    </w:p>
    <w:p>
      <w:pPr>
        <w:pStyle w:val="ListBullet"/>
      </w:pPr>
      <w:r>
        <w:t>Confirmation from the licensor's counsel on the two unrecorded assignments, with recording to follow if the executed originals are produced.</w:t>
      </w:r>
    </w:p>
    <w:p>
      <w:pPr>
        <w:pStyle w:val="ListBullet"/>
      </w:pPr>
      <w:r>
        <w:t>A draft diligence report for internal review and then for yours, organized by family, with the assumption behind each conclusion stated alongside it.</w:t>
      </w:r>
    </w:p>
    <w:p>
      <w:pPr>
        <w:pStyle w:val="ListBullet"/>
      </w:pPr>
      <w:r>
        <w:t>A closing session to walk the report and take questions before it is issued in final form.</w:t>
      </w:r>
    </w:p>
    <w:p>
      <w:pPr>
        <w:pStyle w:val="Heading1"/>
      </w:pPr>
      <w:r>
        <w:t>Budget</w:t>
      </w:r>
    </w:p>
    <w:p>
      <w:r>
        <w:t>The engagement is a fixed fee of $41,000, covering the scope set out in our engagement letter and the report that concludes it. At the midpoint we have consumed slightly under half of the effort budgeted against that fee, and we do not presently expect the work described above to exceed it. Two developments would. The first is an increase in the family count in the proposed grant beyond the tolerance the engagement letter allows. The second is reconstruction of a chain of title from sources outside the record, which would become necessary only if the licensor cannot produce the executed originals discussed below. If either arises, Price-Henson will hear it from us before the work is done rather than on an invoice afterward, and no supplement takes effect without your written agreement.</w:t>
      </w:r>
    </w:p>
    <w:p>
      <w:pPr>
        <w:pStyle w:val="Heading1"/>
      </w:pPr>
      <w:r>
        <w:t>Risks</w:t>
      </w:r>
    </w:p>
    <w:p>
      <w:pPr>
        <w:pStyle w:val="ListBullet"/>
      </w:pPr>
      <w:r>
        <w:t>The two unrecorded assignments. If the executed originals exist, this is an administrative defect and the licensor cures it by recording. If they do not exist, the licensor cannot grant what the term sheet describes as to those two families, and the transaction would have to be repriced or rescoped. We have no reason today to believe the originals are missing. We also have no confirmation that they are not, and we are not willing to treat the absence of bad news as good news.</w:t>
      </w:r>
    </w:p>
    <w:p>
      <w:pPr>
        <w:pStyle w:val="ListBullet"/>
      </w:pPr>
      <w:r>
        <w:t>Federal funding on three families. If the disclosures on the face of those specifications are accurate, the government retains a nonexclusive, irrevocable, paid-up license, and march-in rights survive any grant the licensor makes. This does not defeat the transaction. It does mean exclusivity in those three families is narrower than the term sheet's language suggests, and it is better understood before signature than argued after it.</w:t>
      </w:r>
    </w:p>
    <w:p>
      <w:pPr>
        <w:pStyle w:val="ListBullet"/>
      </w:pPr>
      <w:r>
        <w:t>The prior exclusive grant. One family carries an earlier exclusive grant in a field of use described in imprecise terms. Whether that field overlaps the planned product is a question of construction. We will give you a view, and it will be a qualified one, because the recorded language will not support a flat answer in either direction and we will not manufacture one.</w:t>
      </w:r>
    </w:p>
    <w:p>
      <w:pPr>
        <w:pStyle w:val="ListBullet"/>
      </w:pPr>
      <w:r>
        <w:t>Claim construction on two independent claims. The prosecution history narrowed terms that matter to the planned product. Richard Henderson is reading the office actions in full before forming a view. We would rather carry these as uncertain at the midpoint than record them as covered now and correct the record in the final report.</w:t>
      </w:r>
    </w:p>
    <w:p>
      <w:r>
        <w:t>We will follow this report with the closing session described above. In the meantime, a short note against the matter number is the fastest way to reach us, and anything that changes the family list or the parties to the transaction should reach us the day it changes rather than at the next scheduled report.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Licensing Diligence for Price-Henson</dc:title>
  <dc:subject/>
  <dc:creator>David Chang</dc:creator>
  <cp:keywords/>
  <dc:description>generated by python-docx</dc:description>
  <cp:lastModifiedBy>David Chang</cp:lastModifiedBy>
  <cp:revision>1</cp:revision>
  <dcterms:created xsi:type="dcterms:W3CDTF">2025-06-08T09:00:00Z</dcterms:created>
  <dcterms:modified xsi:type="dcterms:W3CDTF">2025-06-08T09:00:00Z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