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Minutes of a working session on the licensing diligence for Price-Henson. Prepared by Richard Henderson from contemporaneous notes. Privileged and confidential; attorney work product. Corrections to me.</w:t>
      </w:r>
    </w:p>
    <w:p>
      <w:pPr>
        <w:pStyle w:val="Heading1"/>
      </w:pPr>
      <w:r>
        <w:t>Attendees</w:t>
      </w:r>
    </w:p>
    <w:p>
      <w:pPr>
        <w:pStyle w:val="ListBullet"/>
      </w:pPr>
      <w:r>
        <w:t>Richard Henderson, Patent Agent, Prosecution</w:t>
      </w:r>
    </w:p>
    <w:p>
      <w:pPr>
        <w:pStyle w:val="ListBullet"/>
      </w:pPr>
      <w:r>
        <w:t>David Chang, Patent Agent, Prosecution</w:t>
      </w:r>
    </w:p>
    <w:p>
      <w:pPr>
        <w:pStyle w:val="ListBullet"/>
      </w:pPr>
      <w:r>
        <w:t>Tiffany Munoz, Chief Financial Officer, Price-Henson</w:t>
      </w:r>
    </w:p>
    <w:p>
      <w:pPr>
        <w:pStyle w:val="Heading1"/>
      </w:pPr>
      <w:r>
        <w:t>Discussion</w:t>
      </w:r>
    </w:p>
    <w:p>
      <w:r>
        <w:t>Title. Of the eleven families in the proposed grant, nine now have a chain recorded from each named inventor through to the licensor with no gap that I can find. Two do not. In the first, the assignment from the second-named inventor was executed but appears never to have been recorded, and the continuation was filed before it. In the second, an assignment runs to an entity whose merger into the licensor is not of record. I have assumed that the licensor's counsel can produce the executed originals in both cases. On that assumption the defect is one of recording rather than of ownership, and it is curable. If the originals do not exist, the assumption fails, and so does the grant as to those two families. David Chang asked whether the report should say that in those terms. It should.</w:t>
      </w:r>
    </w:p>
    <w:p>
      <w:r>
        <w:t>Encumbrances. Three families disclose federal funding on the face of the specification. I have not read the funding agreements themselves and have asked for them. If the disclosures are accurate, the government holds a nonexclusive paid-up license and march-in rights survive whatever the licensor grants, which means exclusivity in those three families is not exclusivity as against the United States. One further family is subject to a prior exclusive grant in a field of use that the recorded document describes in language I would not call precise. Whether that field overlaps what Price-Henson intends to build is a question of construction rather than of records, and I have moved it into the claim work.</w:t>
      </w:r>
    </w:p>
    <w:p>
      <w:r>
        <w:t>Claim mapping. David Chang has finished the second round of inventor interviews and has product descriptions from the client's engineers rather than from its materials, which is the difference between a claim chart and a guess. I have begun reading the independent claims against those descriptions. Four read on the planned product on their face. Two turn on the construction of terms the prosecution history narrowed, and I will not have a view on those until I have read the office actions in full rather than in summary. I said in the session that I would rather report two claims as uncertain than report them as covered and be wrong about it, and nobody argued.</w:t>
      </w:r>
    </w:p>
    <w:p>
      <w:r>
        <w:t>Client questions. Tiffany Munoz asked what could move faster if the board wanted to sign sooner. The answer given was that the title work cannot be compressed, because it waits on documents the licensor has to produce, and that the claim analysis is the piece where an early view is worth the least and costs the most. She accepted that and asked to be told the moment either title defect turns from curable into real. Agreed.</w:t>
      </w:r>
    </w:p>
    <w:p>
      <w:pPr>
        <w:pStyle w:val="Heading1"/>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Request the executed originals of the two unrecorded assignments from licensor's counsel, in writing</w:t>
            </w:r>
          </w:p>
        </w:tc>
        <w:tc>
          <w:tcPr>
            <w:tcW w:type="dxa" w:w="2880"/>
          </w:tcPr>
          <w:p>
            <w:r>
              <w:t>David Chang</w:t>
            </w:r>
          </w:p>
        </w:tc>
        <w:tc>
          <w:tcPr>
            <w:tcW w:type="dxa" w:w="2880"/>
          </w:tcPr>
          <w:p>
            <w:r>
              <w:t>This week</w:t>
            </w:r>
          </w:p>
        </w:tc>
      </w:tr>
      <w:tr>
        <w:tc>
          <w:tcPr>
            <w:tcW w:type="dxa" w:w="2880"/>
          </w:tcPr>
          <w:p>
            <w:r>
              <w:t>Obtain and read the federal funding agreements for the three families disclosing government support</w:t>
            </w:r>
          </w:p>
        </w:tc>
        <w:tc>
          <w:tcPr>
            <w:tcW w:type="dxa" w:w="2880"/>
          </w:tcPr>
          <w:p>
            <w:r>
              <w:t>Richard Henderson</w:t>
            </w:r>
          </w:p>
        </w:tc>
        <w:tc>
          <w:tcPr>
            <w:tcW w:type="dxa" w:w="2880"/>
          </w:tcPr>
          <w:p>
            <w:r>
              <w:t>Before the next working session</w:t>
            </w:r>
          </w:p>
        </w:tc>
      </w:tr>
      <w:tr>
        <w:tc>
          <w:tcPr>
            <w:tcW w:type="dxa" w:w="2880"/>
          </w:tcPr>
          <w:p>
            <w:r>
              <w:t>Check the field-of-use language in the prior exclusive grant against the recorded document itself, not the summary</w:t>
            </w:r>
          </w:p>
        </w:tc>
        <w:tc>
          <w:tcPr>
            <w:tcW w:type="dxa" w:w="2880"/>
          </w:tcPr>
          <w:p>
            <w:r>
              <w:t>Richard Henderson</w:t>
            </w:r>
          </w:p>
        </w:tc>
        <w:tc>
          <w:tcPr>
            <w:tcW w:type="dxa" w:w="2880"/>
          </w:tcPr>
          <w:p>
            <w:r>
              <w:t>Before the next working session</w:t>
            </w:r>
          </w:p>
        </w:tc>
      </w:tr>
      <w:tr>
        <w:tc>
          <w:tcPr>
            <w:tcW w:type="dxa" w:w="2880"/>
          </w:tcPr>
          <w:p>
            <w:r>
              <w:t>Provide the licensor's docket for annuity dates on all eleven families so ours can be reconciled against it</w:t>
            </w:r>
          </w:p>
        </w:tc>
        <w:tc>
          <w:tcPr>
            <w:tcW w:type="dxa" w:w="2880"/>
          </w:tcPr>
          <w:p>
            <w:r>
              <w:t>Tiffany Munoz</w:t>
            </w:r>
          </w:p>
        </w:tc>
        <w:tc>
          <w:tcPr>
            <w:tcW w:type="dxa" w:w="2880"/>
          </w:tcPr>
          <w:p>
            <w:r>
              <w:t>On receipt from the licensor</w:t>
            </w:r>
          </w:p>
        </w:tc>
      </w:tr>
      <w:tr>
        <w:tc>
          <w:tcPr>
            <w:tcW w:type="dxa" w:w="2880"/>
          </w:tcPr>
          <w:p>
            <w:r>
              <w:t>Complete claim charts for the four independent claims that read on the planned product</w:t>
            </w:r>
          </w:p>
        </w:tc>
        <w:tc>
          <w:tcPr>
            <w:tcW w:type="dxa" w:w="2880"/>
          </w:tcPr>
          <w:p>
            <w:r>
              <w:t>David Chang</w:t>
            </w:r>
          </w:p>
        </w:tc>
        <w:tc>
          <w:tcPr>
            <w:tcW w:type="dxa" w:w="2880"/>
          </w:tcPr>
          <w:p>
            <w:r>
              <w:t>With the status report</w:t>
            </w:r>
          </w:p>
        </w:tc>
      </w:tr>
      <w:tr>
        <w:tc>
          <w:tcPr>
            <w:tcW w:type="dxa" w:w="2880"/>
          </w:tcPr>
          <w:p>
            <w:r>
              <w:t>Circulate the assumption list underlying the title conclusions for review</w:t>
            </w:r>
          </w:p>
        </w:tc>
        <w:tc>
          <w:tcPr>
            <w:tcW w:type="dxa" w:w="2880"/>
          </w:tcPr>
          <w:p>
            <w:r>
              <w:t>Richard Henderson</w:t>
            </w:r>
          </w:p>
        </w:tc>
        <w:tc>
          <w:tcPr>
            <w:tcW w:type="dxa" w:w="2880"/>
          </w:tcPr>
          <w:p>
            <w:r>
              <w:t>With the status report</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Licensing Diligence for Price-Henson</dc:title>
  <dc:subject/>
  <dc:creator>Richard Henderson</dc:creator>
  <cp:keywords/>
  <dc:description>generated by python-docx</dc:description>
  <cp:lastModifiedBy>Richard Henderson</cp:lastModifiedBy>
  <cp:revision>1</cp:revision>
  <dcterms:created xsi:type="dcterms:W3CDTF">2025-05-21T09:00:00Z</dcterms:created>
  <dcterms:modified xsi:type="dcterms:W3CDTF">2025-05-21T09:00:00Z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